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56DBF" w14:textId="66858F6E" w:rsidR="00EB2E0D" w:rsidRDefault="00F605E4">
      <w:pPr>
        <w:spacing w:after="60"/>
        <w:rPr>
          <w:color w:val="0070C0"/>
        </w:rPr>
      </w:pPr>
      <w:r>
        <w:rPr>
          <w:b/>
          <w:bCs/>
          <w:noProof/>
          <w:color w:val="0070C0"/>
          <w:sz w:val="36"/>
          <w:szCs w:val="36"/>
        </w:rPr>
        <w:drawing>
          <wp:anchor distT="0" distB="0" distL="114300" distR="114300" simplePos="0" relativeHeight="251659264" behindDoc="0" locked="0" layoutInCell="1" allowOverlap="1" wp14:anchorId="495D253A" wp14:editId="2E56B45C">
            <wp:simplePos x="0" y="0"/>
            <wp:positionH relativeFrom="margin">
              <wp:posOffset>4949825</wp:posOffset>
            </wp:positionH>
            <wp:positionV relativeFrom="margin">
              <wp:posOffset>70647</wp:posOffset>
            </wp:positionV>
            <wp:extent cx="1695450" cy="400050"/>
            <wp:effectExtent l="0" t="0" r="0" b="0"/>
            <wp:wrapNone/>
            <wp:docPr id="96903855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038558" name=""/>
                    <pic:cNvPicPr/>
                  </pic:nvPicPr>
                  <pic:blipFill>
                    <a:blip r:embed="rId7">
                      <a:extLst>
                        <a:ext uri="{96DAC541-7B7A-43D3-8B79-37D633B846F1}">
                          <asvg:svgBlip xmlns:asvg="http://schemas.microsoft.com/office/drawing/2016/SVG/main" r:embed="rId8"/>
                        </a:ext>
                      </a:extLst>
                    </a:blip>
                    <a:stretch>
                      <a:fillRect/>
                    </a:stretch>
                  </pic:blipFill>
                  <pic:spPr>
                    <a:xfrm>
                      <a:off x="0" y="0"/>
                      <a:ext cx="1695450" cy="400050"/>
                    </a:xfrm>
                    <a:prstGeom prst="rect">
                      <a:avLst/>
                    </a:prstGeom>
                  </pic:spPr>
                </pic:pic>
              </a:graphicData>
            </a:graphic>
            <wp14:sizeRelH relativeFrom="page">
              <wp14:pctWidth>0</wp14:pctWidth>
            </wp14:sizeRelH>
            <wp14:sizeRelV relativeFrom="page">
              <wp14:pctHeight>0</wp14:pctHeight>
            </wp14:sizeRelV>
          </wp:anchor>
        </w:drawing>
      </w:r>
      <w:r w:rsidRPr="004A6C9E">
        <w:rPr>
          <w:b/>
          <w:bCs/>
          <w:color w:val="0070C0"/>
          <w:sz w:val="36"/>
          <w:szCs w:val="36"/>
        </w:rPr>
        <w:t>Homework 1: Internal Threats</w:t>
      </w:r>
    </w:p>
    <w:p w14:paraId="4EC027CE" w14:textId="77777777" w:rsidR="00EB2E0D" w:rsidRDefault="00F605E4">
      <w:pPr>
        <w:spacing w:before="40" w:after="200"/>
        <w:rPr>
          <w:b/>
          <w:bCs/>
        </w:rPr>
      </w:pPr>
      <w:r>
        <w:rPr>
          <w:b/>
          <w:bCs/>
          <w:noProof/>
          <w:color w:val="0070C0"/>
          <w:sz w:val="36"/>
          <w:szCs w:val="36"/>
        </w:rPr>
        <mc:AlternateContent>
          <mc:Choice Requires="wps">
            <w:drawing>
              <wp:anchor distT="0" distB="0" distL="114300" distR="114300" simplePos="0" relativeHeight="251658240" behindDoc="0" locked="0" layoutInCell="1" allowOverlap="1" wp14:anchorId="2A12F657" wp14:editId="59968BCD">
                <wp:simplePos x="0" y="0"/>
                <wp:positionH relativeFrom="column">
                  <wp:posOffset>9525</wp:posOffset>
                </wp:positionH>
                <wp:positionV relativeFrom="paragraph">
                  <wp:posOffset>13335</wp:posOffset>
                </wp:positionV>
                <wp:extent cx="3257550" cy="257175"/>
                <wp:effectExtent l="0" t="0" r="0" b="9525"/>
                <wp:wrapNone/>
                <wp:docPr id="170607868" name="Rectangle: Rounded Corners 1"/>
                <wp:cNvGraphicFramePr/>
                <a:graphic xmlns:a="http://schemas.openxmlformats.org/drawingml/2006/main">
                  <a:graphicData uri="http://schemas.microsoft.com/office/word/2010/wordprocessingShape">
                    <wps:wsp>
                      <wps:cNvSpPr/>
                      <wps:spPr>
                        <a:xfrm>
                          <a:off x="0" y="0"/>
                          <a:ext cx="3257550" cy="257175"/>
                        </a:xfrm>
                        <a:prstGeom prst="roundRect">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7AD0928" w14:textId="77777777" w:rsidR="00D74802" w:rsidRPr="00DA6C8F" w:rsidRDefault="00000000">
                            <w:pPr>
                              <w:rPr>
                                <w:b/>
                                <w:bCs/>
                              </w:rPr>
                            </w:pPr>
                            <w:r>
                              <w:rPr>
                                <w:b/>
                                <w:bCs/>
                              </w:rPr>
                              <w:t>Unit 2: Cyber Security &amp; Incident Management</w:t>
                            </w:r>
                          </w:p>
                        </w:txbxContent>
                      </wps:txbx>
                      <wps:bodyPr rot="0" spcFirstLastPara="0" vertOverflow="overflow" horzOverflow="overflow" vert="horz" wrap="square" lIns="72000" tIns="0" rIns="72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A12F657" id="Rectangle: Rounded Corners 1" o:spid="_x0000_s1026" style="position:absolute;margin-left:.75pt;margin-top:1.05pt;width:256.5pt;height:20.2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" fillcolor="#0070c0" stroked="f" strokeweight="1.5pt">
                <v:stroke joinstyle="miter"/>
                <v:textbox inset="2mm,0,2mm,0">
                  <w:txbxContent>
                    <w:p w14:paraId="27AD0928" w14:textId="77777777" w:rsidR="00000000" w:rsidRPr="00DA6C8F" w:rsidRDefault="00000000">
                      <w:pPr>
                        <w:rPr>
                          <w:b/>
                          <w:bCs/>
                        </w:rPr>
                      </w:pPr>
                      <w:r>
                        <w:rPr>
                          <w:b/>
                          <w:bCs/>
                        </w:rPr>
                        <w:t>Unit 2: Cyber Security &amp; Incident Management</w:t>
                      </w:r>
                    </w:p>
                  </w:txbxContent>
                </v:textbox>
              </v:roundrect>
            </w:pict>
          </mc:Fallback>
        </mc:AlternateContent>
      </w:r>
    </w:p>
    <w:p w14:paraId="4294CEED" w14:textId="77777777" w:rsidR="00EB2E0D" w:rsidRPr="00E76BE2" w:rsidRDefault="00EB2E0D"/>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70C0"/>
        <w:tblCellMar>
          <w:left w:w="10" w:type="dxa"/>
          <w:right w:w="10" w:type="dxa"/>
        </w:tblCellMar>
        <w:tblLook w:val="0000" w:firstRow="0" w:lastRow="0" w:firstColumn="0" w:lastColumn="0" w:noHBand="0" w:noVBand="0"/>
      </w:tblPr>
      <w:tblGrid>
        <w:gridCol w:w="10460"/>
      </w:tblGrid>
      <w:tr w:rsidR="00EB2E0D" w14:paraId="7BAAD051" w14:textId="77777777" w:rsidTr="00603301">
        <w:tc>
          <w:tcPr>
            <w:tcW w:w="10460" w:type="dxa"/>
            <w:tcBorders>
              <w:top w:val="none" w:sz="0" w:space="0" w:color="FFFFFF"/>
              <w:left w:val="none" w:sz="0" w:space="0" w:color="FFFFFF"/>
              <w:bottom w:val="none" w:sz="0" w:space="0" w:color="FFFFFF"/>
              <w:right w:val="none" w:sz="0" w:space="0" w:color="FFFFFF"/>
            </w:tcBorders>
            <w:shd w:val="clear" w:color="auto" w:fill="0070C0"/>
            <w:tcMar>
              <w:top w:w="100" w:type="dxa"/>
              <w:left w:w="200" w:type="dxa"/>
              <w:bottom w:w="100" w:type="dxa"/>
              <w:right w:w="200" w:type="dxa"/>
            </w:tcMar>
          </w:tcPr>
          <w:p w14:paraId="61D32121" w14:textId="77777777" w:rsidR="00EB2E0D" w:rsidRDefault="00F605E4">
            <w:r>
              <w:rPr>
                <w:b/>
                <w:bCs/>
                <w:color w:val="FFFFFF"/>
                <w:sz w:val="26"/>
                <w:szCs w:val="26"/>
              </w:rPr>
              <w:t>Question 1</w:t>
            </w:r>
            <w:r>
              <w:rPr>
                <w:color w:val="FFFFFF"/>
                <w:sz w:val="26"/>
                <w:szCs w:val="26"/>
              </w:rPr>
              <w:t xml:space="preserve">   </w:t>
            </w:r>
            <w:r>
              <w:rPr>
                <w:i/>
                <w:iCs/>
                <w:color w:val="FFFFFF"/>
                <w:sz w:val="24"/>
                <w:szCs w:val="24"/>
              </w:rPr>
              <w:t>(10 marks)</w:t>
            </w:r>
          </w:p>
        </w:tc>
      </w:tr>
    </w:tbl>
    <w:p w14:paraId="6306B1C1" w14:textId="77777777" w:rsidR="00EB2E0D" w:rsidRDefault="00EB2E0D"/>
    <w:p w14:paraId="12DE1C8C" w14:textId="77777777" w:rsidR="00EB2E0D" w:rsidRDefault="00F605E4">
      <w:pPr>
        <w:spacing w:after="160"/>
      </w:pPr>
      <w:r>
        <w:rPr>
          <w:i/>
          <w:iCs/>
          <w:sz w:val="20"/>
          <w:szCs w:val="20"/>
        </w:rPr>
        <w:t>BrightDraw Architects scenario: senior architect James downloads gigabytes of project files to a personal external drive in his notice period and earlier installed an unapproved PDF compression tool.</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60"/>
        <w:gridCol w:w="1700"/>
      </w:tblGrid>
      <w:tr w:rsidR="00EB2E0D" w14:paraId="68965465" w14:textId="77777777" w:rsidTr="00603301">
        <w:trPr>
          <w:tblHeader/>
        </w:trPr>
        <w:tc>
          <w:tcPr>
            <w:tcW w:w="8760" w:type="dxa"/>
            <w:tcBorders>
              <w:top w:val="single" w:sz="4" w:space="0" w:color="888888"/>
              <w:left w:val="single" w:sz="4" w:space="0" w:color="888888"/>
              <w:bottom w:val="single" w:sz="4" w:space="0" w:color="888888"/>
              <w:right w:val="single" w:sz="4" w:space="0" w:color="888888"/>
            </w:tcBorders>
            <w:shd w:val="clear" w:color="auto" w:fill="DAE9F7" w:themeFill="text2" w:themeFillTint="1A"/>
            <w:tcMar>
              <w:top w:w="100" w:type="dxa"/>
              <w:left w:w="140" w:type="dxa"/>
              <w:bottom w:w="100" w:type="dxa"/>
              <w:right w:w="140" w:type="dxa"/>
            </w:tcMar>
          </w:tcPr>
          <w:p w14:paraId="6DF9DBC2" w14:textId="77777777" w:rsidR="00EB2E0D" w:rsidRDefault="00F605E4">
            <w:r>
              <w:rPr>
                <w:b/>
                <w:bCs/>
              </w:rPr>
              <w:t>1(a)   Identify two distinct forms of internal threat shown in the scenario above.</w:t>
            </w:r>
          </w:p>
        </w:tc>
        <w:tc>
          <w:tcPr>
            <w:tcW w:w="1700" w:type="dxa"/>
            <w:tcBorders>
              <w:top w:val="single" w:sz="4" w:space="0" w:color="888888"/>
              <w:left w:val="single" w:sz="4" w:space="0" w:color="888888"/>
              <w:bottom w:val="single" w:sz="4" w:space="0" w:color="888888"/>
              <w:right w:val="single" w:sz="4" w:space="0" w:color="888888"/>
            </w:tcBorders>
            <w:shd w:val="clear" w:color="auto" w:fill="DAE9F7" w:themeFill="text2" w:themeFillTint="1A"/>
            <w:tcMar>
              <w:top w:w="100" w:type="dxa"/>
              <w:left w:w="140" w:type="dxa"/>
              <w:bottom w:w="100" w:type="dxa"/>
              <w:right w:w="140" w:type="dxa"/>
            </w:tcMar>
          </w:tcPr>
          <w:p w14:paraId="25708475" w14:textId="77777777" w:rsidR="00EB2E0D" w:rsidRDefault="00F605E4" w:rsidP="00603301">
            <w:pPr>
              <w:jc w:val="center"/>
            </w:pPr>
            <w:r>
              <w:rPr>
                <w:b/>
                <w:bCs/>
              </w:rPr>
              <w:t>[2]</w:t>
            </w:r>
          </w:p>
        </w:tc>
      </w:tr>
      <w:tr w:rsidR="00EB2E0D" w14:paraId="621E8ECF" w14:textId="77777777">
        <w:trPr>
          <w:cantSplit/>
        </w:trPr>
        <w:tc>
          <w:tcPr>
            <w:tcW w:w="10460" w:type="dxa"/>
            <w:gridSpan w:val="2"/>
            <w:tcBorders>
              <w:top w:val="single" w:sz="4" w:space="0" w:color="888888"/>
              <w:left w:val="single" w:sz="18" w:space="0" w:color="0070C0"/>
              <w:bottom w:val="single" w:sz="4" w:space="0" w:color="888888"/>
              <w:right w:val="single" w:sz="4" w:space="0" w:color="888888"/>
            </w:tcBorders>
            <w:shd w:val="clear" w:color="auto" w:fill="F2F5F9"/>
            <w:tcMar>
              <w:top w:w="100" w:type="dxa"/>
              <w:left w:w="140" w:type="dxa"/>
              <w:bottom w:w="100" w:type="dxa"/>
              <w:right w:w="140" w:type="dxa"/>
            </w:tcMar>
          </w:tcPr>
          <w:p w14:paraId="6A308300" w14:textId="77777777" w:rsidR="00EB2E0D" w:rsidRDefault="00F605E4">
            <w:r>
              <w:rPr>
                <w:b/>
                <w:bCs/>
                <w:i/>
                <w:iCs/>
                <w:color w:val="2E5A86"/>
                <w:sz w:val="20"/>
                <w:szCs w:val="20"/>
              </w:rPr>
              <w:t xml:space="preserve">Marking: </w:t>
            </w:r>
            <w:r>
              <w:rPr>
                <w:i/>
                <w:iCs/>
                <w:color w:val="2E5A86"/>
                <w:sz w:val="20"/>
                <w:szCs w:val="20"/>
              </w:rPr>
              <w:t>1 mark per distinct, correctly named threat. Maximum 2 (2 marks total).</w:t>
            </w:r>
          </w:p>
        </w:tc>
      </w:tr>
      <w:tr w:rsidR="00EB2E0D" w14:paraId="455FB8E8" w14:textId="77777777" w:rsidTr="00E434E6">
        <w:tc>
          <w:tcPr>
            <w:tcW w:w="8760" w:type="dxa"/>
            <w:tcBorders>
              <w:top w:val="single" w:sz="4" w:space="0" w:color="888888"/>
              <w:left w:val="single" w:sz="4" w:space="0" w:color="888888"/>
              <w:bottom w:val="single" w:sz="4" w:space="0" w:color="888888"/>
              <w:right w:val="single" w:sz="4" w:space="0" w:color="888888"/>
            </w:tcBorders>
            <w:tcMar>
              <w:top w:w="100" w:type="dxa"/>
              <w:left w:w="140" w:type="dxa"/>
              <w:bottom w:w="100" w:type="dxa"/>
              <w:right w:w="140" w:type="dxa"/>
            </w:tcMar>
          </w:tcPr>
          <w:p w14:paraId="4959860C" w14:textId="77777777" w:rsidR="00EB2E0D" w:rsidRDefault="00F605E4">
            <w:r>
              <w:t>Theft of data — James downloads several gigabytes of project files onto a personal external drive before leaving for a competitor.</w:t>
            </w:r>
          </w:p>
        </w:tc>
        <w:tc>
          <w:tcPr>
            <w:tcW w:w="1700" w:type="dxa"/>
            <w:tcBorders>
              <w:top w:val="single" w:sz="4" w:space="0" w:color="888888"/>
              <w:left w:val="single" w:sz="4" w:space="0" w:color="888888"/>
              <w:bottom w:val="single" w:sz="4" w:space="0" w:color="888888"/>
              <w:right w:val="single" w:sz="4" w:space="0" w:color="888888"/>
            </w:tcBorders>
            <w:tcMar>
              <w:top w:w="100" w:type="dxa"/>
              <w:left w:w="140" w:type="dxa"/>
              <w:bottom w:w="100" w:type="dxa"/>
              <w:right w:w="140" w:type="dxa"/>
            </w:tcMar>
            <w:vAlign w:val="center"/>
          </w:tcPr>
          <w:p w14:paraId="0A7854F4" w14:textId="77777777" w:rsidR="00EB2E0D" w:rsidRDefault="00F605E4" w:rsidP="00E434E6">
            <w:pPr>
              <w:jc w:val="center"/>
            </w:pPr>
            <w:r>
              <w:rPr>
                <w:b/>
                <w:bCs/>
              </w:rPr>
              <w:t>(1)</w:t>
            </w:r>
          </w:p>
        </w:tc>
      </w:tr>
      <w:tr w:rsidR="00EB2E0D" w14:paraId="4099FB06" w14:textId="77777777" w:rsidTr="00E434E6">
        <w:tc>
          <w:tcPr>
            <w:tcW w:w="8760" w:type="dxa"/>
            <w:tcBorders>
              <w:top w:val="single" w:sz="4" w:space="0" w:color="888888"/>
              <w:left w:val="single" w:sz="4" w:space="0" w:color="888888"/>
              <w:bottom w:val="single" w:sz="4" w:space="0" w:color="888888"/>
              <w:right w:val="single" w:sz="4" w:space="0" w:color="888888"/>
            </w:tcBorders>
            <w:tcMar>
              <w:top w:w="100" w:type="dxa"/>
              <w:left w:w="140" w:type="dxa"/>
              <w:bottom w:w="100" w:type="dxa"/>
              <w:right w:w="140" w:type="dxa"/>
            </w:tcMar>
          </w:tcPr>
          <w:p w14:paraId="044572D4" w14:textId="77777777" w:rsidR="00EB2E0D" w:rsidRDefault="00F605E4">
            <w:r>
              <w:t>Unauthorised software / shadow IT — James installs an unapproved PDF compression tool from a download site that has not been reviewed by IT.</w:t>
            </w:r>
          </w:p>
        </w:tc>
        <w:tc>
          <w:tcPr>
            <w:tcW w:w="1700" w:type="dxa"/>
            <w:tcBorders>
              <w:top w:val="single" w:sz="4" w:space="0" w:color="888888"/>
              <w:left w:val="single" w:sz="4" w:space="0" w:color="888888"/>
              <w:bottom w:val="single" w:sz="4" w:space="0" w:color="888888"/>
              <w:right w:val="single" w:sz="4" w:space="0" w:color="888888"/>
            </w:tcBorders>
            <w:tcMar>
              <w:top w:w="100" w:type="dxa"/>
              <w:left w:w="140" w:type="dxa"/>
              <w:bottom w:w="100" w:type="dxa"/>
              <w:right w:w="140" w:type="dxa"/>
            </w:tcMar>
            <w:vAlign w:val="center"/>
          </w:tcPr>
          <w:p w14:paraId="7752DA9F" w14:textId="77777777" w:rsidR="00EB2E0D" w:rsidRDefault="00F605E4" w:rsidP="00E434E6">
            <w:pPr>
              <w:jc w:val="center"/>
            </w:pPr>
            <w:r>
              <w:rPr>
                <w:b/>
                <w:bCs/>
              </w:rPr>
              <w:t>(1)</w:t>
            </w:r>
          </w:p>
        </w:tc>
      </w:tr>
      <w:tr w:rsidR="00EB2E0D" w14:paraId="49858DDA" w14:textId="77777777">
        <w:tc>
          <w:tcPr>
            <w:tcW w:w="10460" w:type="dxa"/>
            <w:gridSpan w:val="2"/>
            <w:tcBorders>
              <w:top w:val="single" w:sz="4" w:space="0" w:color="888888"/>
              <w:left w:val="single" w:sz="18" w:space="0" w:color="C8960C"/>
              <w:bottom w:val="single" w:sz="4" w:space="0" w:color="888888"/>
              <w:right w:val="single" w:sz="4" w:space="0" w:color="888888"/>
            </w:tcBorders>
            <w:shd w:val="clear" w:color="auto" w:fill="FFF8E1"/>
            <w:tcMar>
              <w:top w:w="100" w:type="dxa"/>
              <w:left w:w="140" w:type="dxa"/>
              <w:bottom w:w="100" w:type="dxa"/>
              <w:right w:w="140" w:type="dxa"/>
            </w:tcMar>
          </w:tcPr>
          <w:p w14:paraId="6E3FF95B" w14:textId="77777777" w:rsidR="00EB2E0D" w:rsidRDefault="00F605E4">
            <w:pPr>
              <w:spacing w:after="60"/>
            </w:pPr>
            <w:r>
              <w:rPr>
                <w:b/>
                <w:bCs/>
                <w:i/>
                <w:iCs/>
                <w:color w:val="7A5C00"/>
                <w:sz w:val="20"/>
                <w:szCs w:val="20"/>
              </w:rPr>
              <w:t>Accept also:</w:t>
            </w:r>
          </w:p>
          <w:p w14:paraId="274E12A5" w14:textId="77777777" w:rsidR="00EB2E0D" w:rsidRDefault="00F605E4">
            <w:pPr>
              <w:spacing w:after="40"/>
              <w:ind w:left="200" w:hanging="200"/>
            </w:pPr>
            <w:r>
              <w:rPr>
                <w:color w:val="7A5C00"/>
                <w:sz w:val="20"/>
                <w:szCs w:val="20"/>
              </w:rPr>
              <w:t xml:space="preserve">•  </w:t>
            </w:r>
            <w:r>
              <w:rPr>
                <w:i/>
                <w:iCs/>
                <w:color w:val="7A5C00"/>
                <w:sz w:val="20"/>
                <w:szCs w:val="20"/>
              </w:rPr>
              <w:t>For "theft of data": data exfiltration, data theft, copying confidential data, IP theft.</w:t>
            </w:r>
          </w:p>
          <w:p w14:paraId="792DFDB5" w14:textId="77777777" w:rsidR="00EB2E0D" w:rsidRDefault="00F605E4">
            <w:pPr>
              <w:spacing w:after="40"/>
              <w:ind w:left="200" w:hanging="200"/>
            </w:pPr>
            <w:r>
              <w:rPr>
                <w:color w:val="7A5C00"/>
                <w:sz w:val="20"/>
                <w:szCs w:val="20"/>
              </w:rPr>
              <w:t xml:space="preserve">•  </w:t>
            </w:r>
            <w:r>
              <w:rPr>
                <w:i/>
                <w:iCs/>
                <w:color w:val="7A5C00"/>
                <w:sz w:val="20"/>
                <w:szCs w:val="20"/>
              </w:rPr>
              <w:t>For "unauthorised software": shadow IT, unapproved software, installing apps without IT permission.</w:t>
            </w:r>
          </w:p>
          <w:p w14:paraId="746B0AAD" w14:textId="77777777" w:rsidR="00EB2E0D" w:rsidRDefault="00F605E4">
            <w:pPr>
              <w:spacing w:after="40"/>
              <w:ind w:left="200" w:hanging="200"/>
            </w:pPr>
            <w:r>
              <w:rPr>
                <w:color w:val="7A5C00"/>
                <w:sz w:val="20"/>
                <w:szCs w:val="20"/>
              </w:rPr>
              <w:t xml:space="preserve">•  </w:t>
            </w:r>
            <w:r>
              <w:rPr>
                <w:i/>
                <w:iCs/>
                <w:color w:val="7A5C00"/>
                <w:sz w:val="20"/>
                <w:szCs w:val="20"/>
              </w:rPr>
              <w:t>Award the marks for any two distinct categories among: theft of data, theft of equipment (the external drive could arguably be company property), unauthorised software, employee sabotage. The two answers must refer to different elements of the scenario.</w:t>
            </w:r>
          </w:p>
        </w:tc>
      </w:tr>
      <w:tr w:rsidR="00EB2E0D" w14:paraId="1C4B2D9D" w14:textId="77777777">
        <w:tc>
          <w:tcPr>
            <w:tcW w:w="10460" w:type="dxa"/>
            <w:gridSpan w:val="2"/>
            <w:tcBorders>
              <w:top w:val="single" w:sz="4" w:space="0" w:color="888888"/>
              <w:left w:val="single" w:sz="18" w:space="0" w:color="B23A3A"/>
              <w:bottom w:val="single" w:sz="4" w:space="0" w:color="888888"/>
              <w:right w:val="single" w:sz="4" w:space="0" w:color="888888"/>
            </w:tcBorders>
            <w:shd w:val="clear" w:color="auto" w:fill="FBEFEF"/>
            <w:tcMar>
              <w:top w:w="100" w:type="dxa"/>
              <w:left w:w="140" w:type="dxa"/>
              <w:bottom w:w="100" w:type="dxa"/>
              <w:right w:w="140" w:type="dxa"/>
            </w:tcMar>
          </w:tcPr>
          <w:p w14:paraId="239FB98A" w14:textId="77777777" w:rsidR="00EB2E0D" w:rsidRDefault="00F605E4">
            <w:pPr>
              <w:spacing w:after="60"/>
            </w:pPr>
            <w:r>
              <w:rPr>
                <w:b/>
                <w:bCs/>
                <w:i/>
                <w:iCs/>
                <w:color w:val="7A1F1F"/>
                <w:sz w:val="20"/>
                <w:szCs w:val="20"/>
              </w:rPr>
              <w:t>Do not credit:</w:t>
            </w:r>
          </w:p>
          <w:p w14:paraId="419DB8B3" w14:textId="77777777" w:rsidR="00EB2E0D" w:rsidRDefault="00F605E4">
            <w:pPr>
              <w:spacing w:after="40"/>
              <w:ind w:left="200" w:hanging="200"/>
            </w:pPr>
            <w:r>
              <w:rPr>
                <w:color w:val="7A1F1F"/>
                <w:sz w:val="20"/>
                <w:szCs w:val="20"/>
              </w:rPr>
              <w:t xml:space="preserve">•  </w:t>
            </w:r>
            <w:r>
              <w:rPr>
                <w:i/>
                <w:iCs/>
                <w:color w:val="7A1F1F"/>
                <w:sz w:val="20"/>
                <w:szCs w:val="20"/>
              </w:rPr>
              <w:t>"Hacking" or "cyber attack" without identifying it as an internal threat.</w:t>
            </w:r>
          </w:p>
          <w:p w14:paraId="5AC39580" w14:textId="77777777" w:rsidR="00EB2E0D" w:rsidRDefault="00F605E4">
            <w:pPr>
              <w:spacing w:after="40"/>
              <w:ind w:left="200" w:hanging="200"/>
            </w:pPr>
            <w:r>
              <w:rPr>
                <w:color w:val="7A1F1F"/>
                <w:sz w:val="20"/>
                <w:szCs w:val="20"/>
              </w:rPr>
              <w:t xml:space="preserve">•  </w:t>
            </w:r>
            <w:r>
              <w:rPr>
                <w:i/>
                <w:iCs/>
                <w:color w:val="7A1F1F"/>
                <w:sz w:val="20"/>
                <w:szCs w:val="20"/>
              </w:rPr>
              <w:t>Two answers that paraphrase the same point (e.g. "data theft" and "stole files") — these together count as one mark only.</w:t>
            </w:r>
          </w:p>
        </w:tc>
      </w:tr>
    </w:tbl>
    <w:p w14:paraId="0B2198E9" w14:textId="77777777" w:rsidR="00EB2E0D" w:rsidRDefault="00EB2E0D"/>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60"/>
        <w:gridCol w:w="1700"/>
      </w:tblGrid>
      <w:tr w:rsidR="00EB2E0D" w14:paraId="6F8303C1" w14:textId="77777777" w:rsidTr="005B60E7">
        <w:trPr>
          <w:tblHeader/>
        </w:trPr>
        <w:tc>
          <w:tcPr>
            <w:tcW w:w="8760" w:type="dxa"/>
            <w:tcBorders>
              <w:top w:val="single" w:sz="4" w:space="0" w:color="888888"/>
              <w:left w:val="single" w:sz="4" w:space="0" w:color="888888"/>
              <w:bottom w:val="single" w:sz="4" w:space="0" w:color="888888"/>
              <w:right w:val="single" w:sz="4" w:space="0" w:color="888888"/>
            </w:tcBorders>
            <w:shd w:val="clear" w:color="auto" w:fill="DAE9F7" w:themeFill="text2" w:themeFillTint="1A"/>
            <w:tcMar>
              <w:top w:w="100" w:type="dxa"/>
              <w:left w:w="140" w:type="dxa"/>
              <w:bottom w:w="100" w:type="dxa"/>
              <w:right w:w="140" w:type="dxa"/>
            </w:tcMar>
          </w:tcPr>
          <w:p w14:paraId="22F3D0F4" w14:textId="77777777" w:rsidR="00EB2E0D" w:rsidRDefault="00F605E4">
            <w:r>
              <w:rPr>
                <w:b/>
                <w:bCs/>
              </w:rPr>
              <w:t>1(b)   Explain how James’s installation of the unauthorised PDF compression tool could put BrightDraw at risk.</w:t>
            </w:r>
          </w:p>
        </w:tc>
        <w:tc>
          <w:tcPr>
            <w:tcW w:w="1700" w:type="dxa"/>
            <w:tcBorders>
              <w:top w:val="single" w:sz="4" w:space="0" w:color="888888"/>
              <w:left w:val="single" w:sz="4" w:space="0" w:color="888888"/>
              <w:bottom w:val="single" w:sz="4" w:space="0" w:color="888888"/>
              <w:right w:val="single" w:sz="4" w:space="0" w:color="888888"/>
            </w:tcBorders>
            <w:shd w:val="clear" w:color="auto" w:fill="DAE9F7" w:themeFill="text2" w:themeFillTint="1A"/>
            <w:tcMar>
              <w:top w:w="100" w:type="dxa"/>
              <w:left w:w="140" w:type="dxa"/>
              <w:bottom w:w="100" w:type="dxa"/>
              <w:right w:w="140" w:type="dxa"/>
            </w:tcMar>
            <w:vAlign w:val="center"/>
          </w:tcPr>
          <w:p w14:paraId="7EA3DDDB" w14:textId="77777777" w:rsidR="00EB2E0D" w:rsidRDefault="00F605E4" w:rsidP="005B60E7">
            <w:pPr>
              <w:jc w:val="center"/>
            </w:pPr>
            <w:r>
              <w:rPr>
                <w:b/>
                <w:bCs/>
              </w:rPr>
              <w:t>[4]</w:t>
            </w:r>
          </w:p>
        </w:tc>
      </w:tr>
      <w:tr w:rsidR="00EB2E0D" w14:paraId="36928A9F" w14:textId="77777777">
        <w:trPr>
          <w:cantSplit/>
        </w:trPr>
        <w:tc>
          <w:tcPr>
            <w:tcW w:w="10460" w:type="dxa"/>
            <w:gridSpan w:val="2"/>
            <w:tcBorders>
              <w:top w:val="single" w:sz="4" w:space="0" w:color="888888"/>
              <w:left w:val="single" w:sz="18" w:space="0" w:color="0070C0"/>
              <w:bottom w:val="single" w:sz="4" w:space="0" w:color="888888"/>
              <w:right w:val="single" w:sz="4" w:space="0" w:color="888888"/>
            </w:tcBorders>
            <w:shd w:val="clear" w:color="auto" w:fill="F2F5F9"/>
            <w:tcMar>
              <w:top w:w="100" w:type="dxa"/>
              <w:left w:w="140" w:type="dxa"/>
              <w:bottom w:w="100" w:type="dxa"/>
              <w:right w:w="140" w:type="dxa"/>
            </w:tcMar>
          </w:tcPr>
          <w:p w14:paraId="10340438" w14:textId="77777777" w:rsidR="00EB2E0D" w:rsidRDefault="00F605E4">
            <w:r>
              <w:rPr>
                <w:b/>
                <w:bCs/>
                <w:i/>
                <w:iCs/>
                <w:color w:val="2E5A86"/>
                <w:sz w:val="20"/>
                <w:szCs w:val="20"/>
              </w:rPr>
              <w:t xml:space="preserve">Marking: </w:t>
            </w:r>
            <w:r>
              <w:rPr>
                <w:i/>
                <w:iCs/>
                <w:color w:val="2E5A86"/>
                <w:sz w:val="20"/>
                <w:szCs w:val="20"/>
              </w:rPr>
              <w:t>1 mark per distinct, valid risk clearly linked to the unauthorised software. Maximum 4 (4 marks total).</w:t>
            </w:r>
          </w:p>
        </w:tc>
      </w:tr>
      <w:tr w:rsidR="00EB2E0D" w14:paraId="45970375" w14:textId="77777777" w:rsidTr="00E434E6">
        <w:tc>
          <w:tcPr>
            <w:tcW w:w="8760" w:type="dxa"/>
            <w:tcBorders>
              <w:top w:val="single" w:sz="4" w:space="0" w:color="888888"/>
              <w:left w:val="single" w:sz="4" w:space="0" w:color="888888"/>
              <w:bottom w:val="single" w:sz="4" w:space="0" w:color="888888"/>
              <w:right w:val="single" w:sz="4" w:space="0" w:color="888888"/>
            </w:tcBorders>
            <w:tcMar>
              <w:top w:w="100" w:type="dxa"/>
              <w:left w:w="140" w:type="dxa"/>
              <w:bottom w:w="100" w:type="dxa"/>
              <w:right w:w="140" w:type="dxa"/>
            </w:tcMar>
          </w:tcPr>
          <w:p w14:paraId="2EDCCB08" w14:textId="77777777" w:rsidR="00EB2E0D" w:rsidRDefault="00F605E4">
            <w:r>
              <w:t>The tool may contain malware, a keylogger, or spyware that compromises the laptop and any data accessed from it.</w:t>
            </w:r>
          </w:p>
        </w:tc>
        <w:tc>
          <w:tcPr>
            <w:tcW w:w="1700" w:type="dxa"/>
            <w:tcBorders>
              <w:top w:val="single" w:sz="4" w:space="0" w:color="888888"/>
              <w:left w:val="single" w:sz="4" w:space="0" w:color="888888"/>
              <w:bottom w:val="single" w:sz="4" w:space="0" w:color="888888"/>
              <w:right w:val="single" w:sz="4" w:space="0" w:color="888888"/>
            </w:tcBorders>
            <w:tcMar>
              <w:top w:w="100" w:type="dxa"/>
              <w:left w:w="140" w:type="dxa"/>
              <w:bottom w:w="100" w:type="dxa"/>
              <w:right w:w="140" w:type="dxa"/>
            </w:tcMar>
            <w:vAlign w:val="center"/>
          </w:tcPr>
          <w:p w14:paraId="6765C081" w14:textId="77777777" w:rsidR="00EB2E0D" w:rsidRDefault="00F605E4" w:rsidP="00E434E6">
            <w:pPr>
              <w:jc w:val="center"/>
            </w:pPr>
            <w:r>
              <w:rPr>
                <w:b/>
                <w:bCs/>
              </w:rPr>
              <w:t>(1)</w:t>
            </w:r>
          </w:p>
        </w:tc>
      </w:tr>
      <w:tr w:rsidR="00EB2E0D" w14:paraId="5C8B4D48" w14:textId="77777777" w:rsidTr="00E434E6">
        <w:tc>
          <w:tcPr>
            <w:tcW w:w="8760" w:type="dxa"/>
            <w:tcBorders>
              <w:top w:val="single" w:sz="4" w:space="0" w:color="888888"/>
              <w:left w:val="single" w:sz="4" w:space="0" w:color="888888"/>
              <w:bottom w:val="single" w:sz="4" w:space="0" w:color="888888"/>
              <w:right w:val="single" w:sz="4" w:space="0" w:color="888888"/>
            </w:tcBorders>
            <w:tcMar>
              <w:top w:w="100" w:type="dxa"/>
              <w:left w:w="140" w:type="dxa"/>
              <w:bottom w:w="100" w:type="dxa"/>
              <w:right w:w="140" w:type="dxa"/>
            </w:tcMar>
          </w:tcPr>
          <w:p w14:paraId="4D6C7D3D" w14:textId="77777777" w:rsidR="00EB2E0D" w:rsidRDefault="00F605E4">
            <w:r>
              <w:t>It bypasses IT’s monitoring and auditing, so any further harmful activity is harder to detect.</w:t>
            </w:r>
          </w:p>
        </w:tc>
        <w:tc>
          <w:tcPr>
            <w:tcW w:w="1700" w:type="dxa"/>
            <w:tcBorders>
              <w:top w:val="single" w:sz="4" w:space="0" w:color="888888"/>
              <w:left w:val="single" w:sz="4" w:space="0" w:color="888888"/>
              <w:bottom w:val="single" w:sz="4" w:space="0" w:color="888888"/>
              <w:right w:val="single" w:sz="4" w:space="0" w:color="888888"/>
            </w:tcBorders>
            <w:tcMar>
              <w:top w:w="100" w:type="dxa"/>
              <w:left w:w="140" w:type="dxa"/>
              <w:bottom w:w="100" w:type="dxa"/>
              <w:right w:w="140" w:type="dxa"/>
            </w:tcMar>
            <w:vAlign w:val="center"/>
          </w:tcPr>
          <w:p w14:paraId="560D6FEA" w14:textId="77777777" w:rsidR="00EB2E0D" w:rsidRDefault="00F605E4" w:rsidP="00E434E6">
            <w:pPr>
              <w:jc w:val="center"/>
            </w:pPr>
            <w:r>
              <w:rPr>
                <w:b/>
                <w:bCs/>
              </w:rPr>
              <w:t>(1)</w:t>
            </w:r>
          </w:p>
        </w:tc>
      </w:tr>
      <w:tr w:rsidR="00EB2E0D" w14:paraId="3A7A829C" w14:textId="77777777" w:rsidTr="00E434E6">
        <w:tc>
          <w:tcPr>
            <w:tcW w:w="8760" w:type="dxa"/>
            <w:tcBorders>
              <w:top w:val="single" w:sz="4" w:space="0" w:color="888888"/>
              <w:left w:val="single" w:sz="4" w:space="0" w:color="888888"/>
              <w:bottom w:val="single" w:sz="4" w:space="0" w:color="888888"/>
              <w:right w:val="single" w:sz="4" w:space="0" w:color="888888"/>
            </w:tcBorders>
            <w:tcMar>
              <w:top w:w="100" w:type="dxa"/>
              <w:left w:w="140" w:type="dxa"/>
              <w:bottom w:w="100" w:type="dxa"/>
              <w:right w:w="140" w:type="dxa"/>
            </w:tcMar>
          </w:tcPr>
          <w:p w14:paraId="6720A4DC" w14:textId="77777777" w:rsidR="00EB2E0D" w:rsidRDefault="00F605E4">
            <w:r>
              <w:t>BrightDraw could face legal/licensing liability if the tool is unlicensed, cracked, or breaches its terms of use.</w:t>
            </w:r>
          </w:p>
        </w:tc>
        <w:tc>
          <w:tcPr>
            <w:tcW w:w="1700" w:type="dxa"/>
            <w:tcBorders>
              <w:top w:val="single" w:sz="4" w:space="0" w:color="888888"/>
              <w:left w:val="single" w:sz="4" w:space="0" w:color="888888"/>
              <w:bottom w:val="single" w:sz="4" w:space="0" w:color="888888"/>
              <w:right w:val="single" w:sz="4" w:space="0" w:color="888888"/>
            </w:tcBorders>
            <w:tcMar>
              <w:top w:w="100" w:type="dxa"/>
              <w:left w:w="140" w:type="dxa"/>
              <w:bottom w:w="100" w:type="dxa"/>
              <w:right w:w="140" w:type="dxa"/>
            </w:tcMar>
            <w:vAlign w:val="center"/>
          </w:tcPr>
          <w:p w14:paraId="6A6186BA" w14:textId="77777777" w:rsidR="00EB2E0D" w:rsidRDefault="00F605E4" w:rsidP="00E434E6">
            <w:pPr>
              <w:jc w:val="center"/>
            </w:pPr>
            <w:r>
              <w:rPr>
                <w:b/>
                <w:bCs/>
              </w:rPr>
              <w:t>(1)</w:t>
            </w:r>
          </w:p>
        </w:tc>
      </w:tr>
      <w:tr w:rsidR="00EB2E0D" w14:paraId="701C0241" w14:textId="77777777" w:rsidTr="00E434E6">
        <w:tc>
          <w:tcPr>
            <w:tcW w:w="8760" w:type="dxa"/>
            <w:tcBorders>
              <w:top w:val="single" w:sz="4" w:space="0" w:color="888888"/>
              <w:left w:val="single" w:sz="4" w:space="0" w:color="888888"/>
              <w:bottom w:val="single" w:sz="4" w:space="0" w:color="888888"/>
              <w:right w:val="single" w:sz="4" w:space="0" w:color="888888"/>
            </w:tcBorders>
            <w:tcMar>
              <w:top w:w="100" w:type="dxa"/>
              <w:left w:w="140" w:type="dxa"/>
              <w:bottom w:w="100" w:type="dxa"/>
              <w:right w:w="140" w:type="dxa"/>
            </w:tcMar>
          </w:tcPr>
          <w:p w14:paraId="08F169E0" w14:textId="77777777" w:rsidR="00EB2E0D" w:rsidRDefault="00F605E4">
            <w:r>
              <w:t>The tool may exfiltrate the documents it processes — e.g. CAD files or client contracts — to a third-party server.</w:t>
            </w:r>
          </w:p>
        </w:tc>
        <w:tc>
          <w:tcPr>
            <w:tcW w:w="1700" w:type="dxa"/>
            <w:tcBorders>
              <w:top w:val="single" w:sz="4" w:space="0" w:color="888888"/>
              <w:left w:val="single" w:sz="4" w:space="0" w:color="888888"/>
              <w:bottom w:val="single" w:sz="4" w:space="0" w:color="888888"/>
              <w:right w:val="single" w:sz="4" w:space="0" w:color="888888"/>
            </w:tcBorders>
            <w:tcMar>
              <w:top w:w="100" w:type="dxa"/>
              <w:left w:w="140" w:type="dxa"/>
              <w:bottom w:w="100" w:type="dxa"/>
              <w:right w:w="140" w:type="dxa"/>
            </w:tcMar>
            <w:vAlign w:val="center"/>
          </w:tcPr>
          <w:p w14:paraId="307769A1" w14:textId="77777777" w:rsidR="00EB2E0D" w:rsidRDefault="00F605E4" w:rsidP="00E434E6">
            <w:pPr>
              <w:jc w:val="center"/>
            </w:pPr>
            <w:r>
              <w:rPr>
                <w:b/>
                <w:bCs/>
              </w:rPr>
              <w:t>(1)</w:t>
            </w:r>
          </w:p>
        </w:tc>
      </w:tr>
      <w:tr w:rsidR="00EB2E0D" w14:paraId="220B845A" w14:textId="77777777">
        <w:tc>
          <w:tcPr>
            <w:tcW w:w="10460" w:type="dxa"/>
            <w:gridSpan w:val="2"/>
            <w:tcBorders>
              <w:top w:val="single" w:sz="4" w:space="0" w:color="888888"/>
              <w:left w:val="single" w:sz="18" w:space="0" w:color="C8960C"/>
              <w:bottom w:val="single" w:sz="4" w:space="0" w:color="888888"/>
              <w:right w:val="single" w:sz="4" w:space="0" w:color="888888"/>
            </w:tcBorders>
            <w:shd w:val="clear" w:color="auto" w:fill="FFF8E1"/>
            <w:tcMar>
              <w:top w:w="100" w:type="dxa"/>
              <w:left w:w="140" w:type="dxa"/>
              <w:bottom w:w="100" w:type="dxa"/>
              <w:right w:w="140" w:type="dxa"/>
            </w:tcMar>
          </w:tcPr>
          <w:p w14:paraId="7D8F5D5D" w14:textId="77777777" w:rsidR="00EB2E0D" w:rsidRDefault="00F605E4">
            <w:pPr>
              <w:spacing w:after="60"/>
            </w:pPr>
            <w:r>
              <w:rPr>
                <w:b/>
                <w:bCs/>
                <w:i/>
                <w:iCs/>
                <w:color w:val="7A5C00"/>
                <w:sz w:val="20"/>
                <w:szCs w:val="20"/>
              </w:rPr>
              <w:t>Accept also:</w:t>
            </w:r>
          </w:p>
          <w:p w14:paraId="7FFDAC65" w14:textId="77777777" w:rsidR="00EB2E0D" w:rsidRDefault="00F605E4">
            <w:pPr>
              <w:spacing w:after="40"/>
              <w:ind w:left="200" w:hanging="200"/>
            </w:pPr>
            <w:r>
              <w:rPr>
                <w:color w:val="7A5C00"/>
                <w:sz w:val="20"/>
                <w:szCs w:val="20"/>
              </w:rPr>
              <w:t xml:space="preserve">•  </w:t>
            </w:r>
            <w:r>
              <w:rPr>
                <w:i/>
                <w:iCs/>
                <w:color w:val="7A5C00"/>
                <w:sz w:val="20"/>
                <w:szCs w:val="20"/>
              </w:rPr>
              <w:t>Compatibility / stability problems with approved systems leading to crashes or data loss.</w:t>
            </w:r>
          </w:p>
          <w:p w14:paraId="41CBA962" w14:textId="77777777" w:rsidR="00EB2E0D" w:rsidRDefault="00F605E4">
            <w:pPr>
              <w:spacing w:after="40"/>
              <w:ind w:left="200" w:hanging="200"/>
            </w:pPr>
            <w:r>
              <w:rPr>
                <w:color w:val="7A5C00"/>
                <w:sz w:val="20"/>
                <w:szCs w:val="20"/>
              </w:rPr>
              <w:t xml:space="preserve">•  </w:t>
            </w:r>
            <w:r>
              <w:rPr>
                <w:i/>
                <w:iCs/>
                <w:color w:val="7A5C00"/>
                <w:sz w:val="20"/>
                <w:szCs w:val="20"/>
              </w:rPr>
              <w:t>Creates a vulnerability that an external attacker could later exploit.</w:t>
            </w:r>
          </w:p>
          <w:p w14:paraId="3D2DF6D5" w14:textId="77777777" w:rsidR="00EB2E0D" w:rsidRDefault="00F605E4">
            <w:pPr>
              <w:spacing w:after="40"/>
              <w:ind w:left="200" w:hanging="200"/>
            </w:pPr>
            <w:r>
              <w:rPr>
                <w:color w:val="7A5C00"/>
                <w:sz w:val="20"/>
                <w:szCs w:val="20"/>
              </w:rPr>
              <w:t xml:space="preserve">•  </w:t>
            </w:r>
            <w:r>
              <w:rPr>
                <w:i/>
                <w:iCs/>
                <w:color w:val="7A5C00"/>
                <w:sz w:val="20"/>
                <w:szCs w:val="20"/>
              </w:rPr>
              <w:t>Damage to BrightDraw’s reputation if a breach is traced back to the unapproved tool.</w:t>
            </w:r>
          </w:p>
          <w:p w14:paraId="2763283D" w14:textId="77777777" w:rsidR="00EB2E0D" w:rsidRDefault="00F605E4">
            <w:pPr>
              <w:spacing w:after="40"/>
              <w:ind w:left="200" w:hanging="200"/>
            </w:pPr>
            <w:r>
              <w:rPr>
                <w:color w:val="7A5C00"/>
                <w:sz w:val="20"/>
                <w:szCs w:val="20"/>
              </w:rPr>
              <w:t xml:space="preserve">•  </w:t>
            </w:r>
            <w:r>
              <w:rPr>
                <w:i/>
                <w:iCs/>
                <w:color w:val="7A5C00"/>
                <w:sz w:val="20"/>
                <w:szCs w:val="20"/>
              </w:rPr>
              <w:t>Data protection breach (UK GDPR) if client data is exposed via the tool.</w:t>
            </w:r>
          </w:p>
        </w:tc>
      </w:tr>
      <w:tr w:rsidR="00EB2E0D" w14:paraId="3CD43295" w14:textId="77777777">
        <w:tc>
          <w:tcPr>
            <w:tcW w:w="10460" w:type="dxa"/>
            <w:gridSpan w:val="2"/>
            <w:tcBorders>
              <w:top w:val="single" w:sz="4" w:space="0" w:color="888888"/>
              <w:left w:val="single" w:sz="18" w:space="0" w:color="B23A3A"/>
              <w:bottom w:val="single" w:sz="4" w:space="0" w:color="888888"/>
              <w:right w:val="single" w:sz="4" w:space="0" w:color="888888"/>
            </w:tcBorders>
            <w:shd w:val="clear" w:color="auto" w:fill="FBEFEF"/>
            <w:tcMar>
              <w:top w:w="100" w:type="dxa"/>
              <w:left w:w="140" w:type="dxa"/>
              <w:bottom w:w="100" w:type="dxa"/>
              <w:right w:w="140" w:type="dxa"/>
            </w:tcMar>
          </w:tcPr>
          <w:p w14:paraId="2EE14285" w14:textId="77777777" w:rsidR="00EB2E0D" w:rsidRDefault="00F605E4">
            <w:pPr>
              <w:spacing w:after="60"/>
            </w:pPr>
            <w:r>
              <w:rPr>
                <w:b/>
                <w:bCs/>
                <w:i/>
                <w:iCs/>
                <w:color w:val="7A1F1F"/>
                <w:sz w:val="20"/>
                <w:szCs w:val="20"/>
              </w:rPr>
              <w:t>Do not credit:</w:t>
            </w:r>
          </w:p>
          <w:p w14:paraId="12C1A948" w14:textId="77777777" w:rsidR="00EB2E0D" w:rsidRDefault="00F605E4">
            <w:pPr>
              <w:spacing w:after="40"/>
              <w:ind w:left="200" w:hanging="200"/>
            </w:pPr>
            <w:r>
              <w:rPr>
                <w:color w:val="7A1F1F"/>
                <w:sz w:val="20"/>
                <w:szCs w:val="20"/>
              </w:rPr>
              <w:t xml:space="preserve">•  </w:t>
            </w:r>
            <w:r>
              <w:rPr>
                <w:i/>
                <w:iCs/>
                <w:color w:val="7A1F1F"/>
                <w:sz w:val="20"/>
                <w:szCs w:val="20"/>
              </w:rPr>
              <w:t>Generic "it could be hacked" without linking the risk to the unauthorised software (no mark).</w:t>
            </w:r>
          </w:p>
          <w:p w14:paraId="2A87F524" w14:textId="77777777" w:rsidR="00EB2E0D" w:rsidRDefault="00F605E4">
            <w:pPr>
              <w:spacing w:after="40"/>
              <w:ind w:left="200" w:hanging="200"/>
            </w:pPr>
            <w:r>
              <w:rPr>
                <w:color w:val="7A1F1F"/>
                <w:sz w:val="20"/>
                <w:szCs w:val="20"/>
              </w:rPr>
              <w:t xml:space="preserve">•  </w:t>
            </w:r>
            <w:r>
              <w:rPr>
                <w:i/>
                <w:iCs/>
                <w:color w:val="7A1F1F"/>
                <w:sz w:val="20"/>
                <w:szCs w:val="20"/>
              </w:rPr>
              <w:t>Repetition of the scenario without identifying a risk (no mark).</w:t>
            </w:r>
          </w:p>
        </w:tc>
      </w:tr>
    </w:tbl>
    <w:p w14:paraId="33A54310" w14:textId="77777777" w:rsidR="00EB2E0D" w:rsidRDefault="00EB2E0D"/>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60"/>
        <w:gridCol w:w="1700"/>
      </w:tblGrid>
      <w:tr w:rsidR="00EB2E0D" w14:paraId="0E5E4AE0" w14:textId="77777777" w:rsidTr="005B60E7">
        <w:trPr>
          <w:tblHeader/>
        </w:trPr>
        <w:tc>
          <w:tcPr>
            <w:tcW w:w="8760" w:type="dxa"/>
            <w:tcBorders>
              <w:top w:val="single" w:sz="4" w:space="0" w:color="888888"/>
              <w:left w:val="single" w:sz="4" w:space="0" w:color="888888"/>
              <w:bottom w:val="single" w:sz="4" w:space="0" w:color="888888"/>
              <w:right w:val="single" w:sz="4" w:space="0" w:color="888888"/>
            </w:tcBorders>
            <w:shd w:val="clear" w:color="auto" w:fill="DAE9F7" w:themeFill="text2" w:themeFillTint="1A"/>
            <w:tcMar>
              <w:top w:w="100" w:type="dxa"/>
              <w:left w:w="140" w:type="dxa"/>
              <w:bottom w:w="100" w:type="dxa"/>
              <w:right w:w="140" w:type="dxa"/>
            </w:tcMar>
          </w:tcPr>
          <w:p w14:paraId="660A9AD8" w14:textId="77777777" w:rsidR="00EB2E0D" w:rsidRDefault="00F605E4">
            <w:r>
              <w:rPr>
                <w:b/>
                <w:bCs/>
              </w:rPr>
              <w:t>1(c)   Suggest two practical controls that BrightDraw could put in place to reduce the risk of an outgoing employee like James taking sensitive data with them.</w:t>
            </w:r>
          </w:p>
        </w:tc>
        <w:tc>
          <w:tcPr>
            <w:tcW w:w="1700" w:type="dxa"/>
            <w:tcBorders>
              <w:top w:val="single" w:sz="4" w:space="0" w:color="888888"/>
              <w:left w:val="single" w:sz="4" w:space="0" w:color="888888"/>
              <w:bottom w:val="single" w:sz="4" w:space="0" w:color="888888"/>
              <w:right w:val="single" w:sz="4" w:space="0" w:color="888888"/>
            </w:tcBorders>
            <w:shd w:val="clear" w:color="auto" w:fill="DAE9F7" w:themeFill="text2" w:themeFillTint="1A"/>
            <w:tcMar>
              <w:top w:w="100" w:type="dxa"/>
              <w:left w:w="140" w:type="dxa"/>
              <w:bottom w:w="100" w:type="dxa"/>
              <w:right w:w="140" w:type="dxa"/>
            </w:tcMar>
            <w:vAlign w:val="center"/>
          </w:tcPr>
          <w:p w14:paraId="3FE34F19" w14:textId="77777777" w:rsidR="00EB2E0D" w:rsidRDefault="00F605E4" w:rsidP="005B60E7">
            <w:pPr>
              <w:jc w:val="center"/>
            </w:pPr>
            <w:r>
              <w:rPr>
                <w:b/>
                <w:bCs/>
              </w:rPr>
              <w:t>[4]</w:t>
            </w:r>
          </w:p>
        </w:tc>
      </w:tr>
      <w:tr w:rsidR="00EB2E0D" w14:paraId="75259AB3" w14:textId="77777777">
        <w:trPr>
          <w:cantSplit/>
        </w:trPr>
        <w:tc>
          <w:tcPr>
            <w:tcW w:w="10460" w:type="dxa"/>
            <w:gridSpan w:val="2"/>
            <w:tcBorders>
              <w:top w:val="single" w:sz="4" w:space="0" w:color="888888"/>
              <w:left w:val="single" w:sz="18" w:space="0" w:color="0070C0"/>
              <w:bottom w:val="single" w:sz="4" w:space="0" w:color="888888"/>
              <w:right w:val="single" w:sz="4" w:space="0" w:color="888888"/>
            </w:tcBorders>
            <w:shd w:val="clear" w:color="auto" w:fill="F2F5F9"/>
            <w:tcMar>
              <w:top w:w="100" w:type="dxa"/>
              <w:left w:w="140" w:type="dxa"/>
              <w:bottom w:w="100" w:type="dxa"/>
              <w:right w:w="140" w:type="dxa"/>
            </w:tcMar>
          </w:tcPr>
          <w:p w14:paraId="526B3037" w14:textId="77777777" w:rsidR="00EB2E0D" w:rsidRDefault="00F605E4">
            <w:r>
              <w:rPr>
                <w:b/>
                <w:bCs/>
                <w:i/>
                <w:iCs/>
                <w:color w:val="2E5A86"/>
                <w:sz w:val="20"/>
                <w:szCs w:val="20"/>
              </w:rPr>
              <w:t xml:space="preserve">Marking: </w:t>
            </w:r>
            <w:r>
              <w:rPr>
                <w:i/>
                <w:iCs/>
                <w:color w:val="2E5A86"/>
                <w:sz w:val="20"/>
                <w:szCs w:val="20"/>
              </w:rPr>
              <w:t>1 mark for naming each relevant control + 1 mark for explaining how it reduces the risk. Maximum 2 controls (4 marks total).</w:t>
            </w:r>
          </w:p>
        </w:tc>
      </w:tr>
      <w:tr w:rsidR="00EB2E0D" w14:paraId="7B3FA589" w14:textId="77777777" w:rsidTr="00E434E6">
        <w:tc>
          <w:tcPr>
            <w:tcW w:w="8760" w:type="dxa"/>
            <w:tcBorders>
              <w:top w:val="single" w:sz="4" w:space="0" w:color="888888"/>
              <w:left w:val="single" w:sz="4" w:space="0" w:color="888888"/>
              <w:bottom w:val="single" w:sz="4" w:space="0" w:color="888888"/>
              <w:right w:val="single" w:sz="4" w:space="0" w:color="888888"/>
            </w:tcBorders>
            <w:tcMar>
              <w:top w:w="100" w:type="dxa"/>
              <w:left w:w="140" w:type="dxa"/>
              <w:bottom w:w="100" w:type="dxa"/>
              <w:right w:w="140" w:type="dxa"/>
            </w:tcMar>
          </w:tcPr>
          <w:p w14:paraId="3EACB45F" w14:textId="77777777" w:rsidR="00EB2E0D" w:rsidRDefault="00F605E4">
            <w:r>
              <w:t>Control: revoke or restrict system access (e.g. switch to read-only) as soon as an employee gives notice. — reduces risk because the employee can no longer download bulk data during their notice period.</w:t>
            </w:r>
          </w:p>
        </w:tc>
        <w:tc>
          <w:tcPr>
            <w:tcW w:w="1700" w:type="dxa"/>
            <w:tcBorders>
              <w:top w:val="single" w:sz="4" w:space="0" w:color="888888"/>
              <w:left w:val="single" w:sz="4" w:space="0" w:color="888888"/>
              <w:bottom w:val="single" w:sz="4" w:space="0" w:color="888888"/>
              <w:right w:val="single" w:sz="4" w:space="0" w:color="888888"/>
            </w:tcBorders>
            <w:tcMar>
              <w:top w:w="100" w:type="dxa"/>
              <w:left w:w="140" w:type="dxa"/>
              <w:bottom w:w="100" w:type="dxa"/>
              <w:right w:w="140" w:type="dxa"/>
            </w:tcMar>
            <w:vAlign w:val="center"/>
          </w:tcPr>
          <w:p w14:paraId="0290775C" w14:textId="77777777" w:rsidR="00EB2E0D" w:rsidRDefault="00F605E4" w:rsidP="00E434E6">
            <w:pPr>
              <w:jc w:val="center"/>
            </w:pPr>
            <w:r>
              <w:rPr>
                <w:b/>
                <w:bCs/>
              </w:rPr>
              <w:t>(1+1)</w:t>
            </w:r>
          </w:p>
        </w:tc>
      </w:tr>
      <w:tr w:rsidR="00EB2E0D" w14:paraId="3C1339B6" w14:textId="77777777" w:rsidTr="00E434E6">
        <w:tc>
          <w:tcPr>
            <w:tcW w:w="8760" w:type="dxa"/>
            <w:tcBorders>
              <w:top w:val="single" w:sz="4" w:space="0" w:color="888888"/>
              <w:left w:val="single" w:sz="4" w:space="0" w:color="888888"/>
              <w:bottom w:val="single" w:sz="4" w:space="0" w:color="888888"/>
              <w:right w:val="single" w:sz="4" w:space="0" w:color="888888"/>
            </w:tcBorders>
            <w:tcMar>
              <w:top w:w="100" w:type="dxa"/>
              <w:left w:w="140" w:type="dxa"/>
              <w:bottom w:w="100" w:type="dxa"/>
              <w:right w:w="140" w:type="dxa"/>
            </w:tcMar>
          </w:tcPr>
          <w:p w14:paraId="53BE83EA" w14:textId="77777777" w:rsidR="00EB2E0D" w:rsidRDefault="00F605E4">
            <w:r>
              <w:t>Control: deploy data-loss-prevention (DLP) software that blocks or alerts on large or unusual file transfers to USB/external drives. — reduces risk because exfiltration attempts are detected and stopped automatically.</w:t>
            </w:r>
          </w:p>
        </w:tc>
        <w:tc>
          <w:tcPr>
            <w:tcW w:w="1700" w:type="dxa"/>
            <w:tcBorders>
              <w:top w:val="single" w:sz="4" w:space="0" w:color="888888"/>
              <w:left w:val="single" w:sz="4" w:space="0" w:color="888888"/>
              <w:bottom w:val="single" w:sz="4" w:space="0" w:color="888888"/>
              <w:right w:val="single" w:sz="4" w:space="0" w:color="888888"/>
            </w:tcBorders>
            <w:tcMar>
              <w:top w:w="100" w:type="dxa"/>
              <w:left w:w="140" w:type="dxa"/>
              <w:bottom w:w="100" w:type="dxa"/>
              <w:right w:w="140" w:type="dxa"/>
            </w:tcMar>
            <w:vAlign w:val="center"/>
          </w:tcPr>
          <w:p w14:paraId="4ED77E40" w14:textId="77777777" w:rsidR="00EB2E0D" w:rsidRDefault="00F605E4" w:rsidP="00E434E6">
            <w:pPr>
              <w:jc w:val="center"/>
            </w:pPr>
            <w:r>
              <w:rPr>
                <w:b/>
                <w:bCs/>
              </w:rPr>
              <w:t>(1+1)</w:t>
            </w:r>
          </w:p>
        </w:tc>
      </w:tr>
      <w:tr w:rsidR="00EB2E0D" w14:paraId="37E6DD4B" w14:textId="77777777">
        <w:tc>
          <w:tcPr>
            <w:tcW w:w="10460" w:type="dxa"/>
            <w:gridSpan w:val="2"/>
            <w:tcBorders>
              <w:top w:val="single" w:sz="4" w:space="0" w:color="888888"/>
              <w:left w:val="single" w:sz="18" w:space="0" w:color="C8960C"/>
              <w:bottom w:val="single" w:sz="4" w:space="0" w:color="888888"/>
              <w:right w:val="single" w:sz="4" w:space="0" w:color="888888"/>
            </w:tcBorders>
            <w:shd w:val="clear" w:color="auto" w:fill="FFF8E1"/>
            <w:tcMar>
              <w:top w:w="100" w:type="dxa"/>
              <w:left w:w="140" w:type="dxa"/>
              <w:bottom w:w="100" w:type="dxa"/>
              <w:right w:w="140" w:type="dxa"/>
            </w:tcMar>
          </w:tcPr>
          <w:p w14:paraId="4899DA80" w14:textId="77777777" w:rsidR="00EB2E0D" w:rsidRDefault="00F605E4">
            <w:pPr>
              <w:spacing w:after="60"/>
            </w:pPr>
            <w:r>
              <w:rPr>
                <w:b/>
                <w:bCs/>
                <w:i/>
                <w:iCs/>
                <w:color w:val="7A5C00"/>
                <w:sz w:val="20"/>
                <w:szCs w:val="20"/>
              </w:rPr>
              <w:t>Accept also:</w:t>
            </w:r>
          </w:p>
          <w:p w14:paraId="5160431B" w14:textId="77777777" w:rsidR="00EB2E0D" w:rsidRDefault="00F605E4">
            <w:pPr>
              <w:spacing w:after="40"/>
              <w:ind w:left="200" w:hanging="200"/>
            </w:pPr>
            <w:r>
              <w:rPr>
                <w:color w:val="7A5C00"/>
                <w:sz w:val="20"/>
                <w:szCs w:val="20"/>
              </w:rPr>
              <w:t xml:space="preserve">•  </w:t>
            </w:r>
            <w:r>
              <w:rPr>
                <w:i/>
                <w:iCs/>
                <w:color w:val="7A5C00"/>
                <w:sz w:val="20"/>
                <w:szCs w:val="20"/>
              </w:rPr>
              <w:t>Disable USB / external storage ports for users in their notice period.</w:t>
            </w:r>
          </w:p>
          <w:p w14:paraId="74FB3E25" w14:textId="77777777" w:rsidR="00EB2E0D" w:rsidRDefault="00F605E4">
            <w:pPr>
              <w:spacing w:after="40"/>
              <w:ind w:left="200" w:hanging="200"/>
            </w:pPr>
            <w:r>
              <w:rPr>
                <w:color w:val="7A5C00"/>
                <w:sz w:val="20"/>
                <w:szCs w:val="20"/>
              </w:rPr>
              <w:t xml:space="preserve">•  </w:t>
            </w:r>
            <w:r>
              <w:rPr>
                <w:i/>
                <w:iCs/>
                <w:color w:val="7A5C00"/>
                <w:sz w:val="20"/>
                <w:szCs w:val="20"/>
              </w:rPr>
              <w:t>Monitor and alert on unusual file-access patterns or out-of-hours bulk downloads, with a named owner reviewing alerts.</w:t>
            </w:r>
          </w:p>
          <w:p w14:paraId="658BFB63" w14:textId="77777777" w:rsidR="00EB2E0D" w:rsidRDefault="00F605E4">
            <w:pPr>
              <w:spacing w:after="40"/>
              <w:ind w:left="200" w:hanging="200"/>
            </w:pPr>
            <w:r>
              <w:rPr>
                <w:color w:val="7A5C00"/>
                <w:sz w:val="20"/>
                <w:szCs w:val="20"/>
              </w:rPr>
              <w:t xml:space="preserve">•  </w:t>
            </w:r>
            <w:r>
              <w:rPr>
                <w:i/>
                <w:iCs/>
                <w:color w:val="7A5C00"/>
                <w:sz w:val="20"/>
                <w:szCs w:val="20"/>
              </w:rPr>
              <w:t>Strengthen the off-boarding checklist: collect equipment on the last day, audit which files were accessed in the final 30 days.</w:t>
            </w:r>
          </w:p>
          <w:p w14:paraId="4637FF2C" w14:textId="77777777" w:rsidR="00EB2E0D" w:rsidRDefault="00F605E4">
            <w:pPr>
              <w:spacing w:after="40"/>
              <w:ind w:left="200" w:hanging="200"/>
            </w:pPr>
            <w:r>
              <w:rPr>
                <w:color w:val="7A5C00"/>
                <w:sz w:val="20"/>
                <w:szCs w:val="20"/>
              </w:rPr>
              <w:t xml:space="preserve">•  </w:t>
            </w:r>
            <w:r>
              <w:rPr>
                <w:i/>
                <w:iCs/>
                <w:color w:val="7A5C00"/>
                <w:sz w:val="20"/>
                <w:szCs w:val="20"/>
              </w:rPr>
              <w:t>Strong NDA and IP clauses in the employment contract, reinforced in an exit interview.</w:t>
            </w:r>
          </w:p>
          <w:p w14:paraId="6D451EA3" w14:textId="77777777" w:rsidR="00EB2E0D" w:rsidRDefault="00F605E4">
            <w:pPr>
              <w:spacing w:after="40"/>
              <w:ind w:left="200" w:hanging="200"/>
            </w:pPr>
            <w:r>
              <w:rPr>
                <w:color w:val="7A5C00"/>
                <w:sz w:val="20"/>
                <w:szCs w:val="20"/>
              </w:rPr>
              <w:t xml:space="preserve">•  </w:t>
            </w:r>
            <w:r>
              <w:rPr>
                <w:i/>
                <w:iCs/>
                <w:color w:val="7A5C00"/>
                <w:sz w:val="20"/>
                <w:szCs w:val="20"/>
              </w:rPr>
              <w:t>Encrypt sensitive folders with key-based access tied to active employment.</w:t>
            </w:r>
          </w:p>
          <w:p w14:paraId="0FB54363" w14:textId="77777777" w:rsidR="00EB2E0D" w:rsidRDefault="00F605E4">
            <w:pPr>
              <w:spacing w:after="40"/>
              <w:ind w:left="200" w:hanging="200"/>
            </w:pPr>
            <w:r>
              <w:rPr>
                <w:color w:val="7A5C00"/>
                <w:sz w:val="20"/>
                <w:szCs w:val="20"/>
              </w:rPr>
              <w:t xml:space="preserve">•  </w:t>
            </w:r>
            <w:r>
              <w:rPr>
                <w:i/>
                <w:iCs/>
                <w:color w:val="7A5C00"/>
                <w:sz w:val="20"/>
                <w:szCs w:val="20"/>
              </w:rPr>
              <w:t>Award the second mark only if the explanation says how the control reduces the risk — not just what the control is.</w:t>
            </w:r>
          </w:p>
        </w:tc>
      </w:tr>
      <w:tr w:rsidR="00EB2E0D" w14:paraId="705BAC74" w14:textId="77777777">
        <w:tc>
          <w:tcPr>
            <w:tcW w:w="10460" w:type="dxa"/>
            <w:gridSpan w:val="2"/>
            <w:tcBorders>
              <w:top w:val="single" w:sz="4" w:space="0" w:color="888888"/>
              <w:left w:val="single" w:sz="18" w:space="0" w:color="B23A3A"/>
              <w:bottom w:val="single" w:sz="4" w:space="0" w:color="888888"/>
              <w:right w:val="single" w:sz="4" w:space="0" w:color="888888"/>
            </w:tcBorders>
            <w:shd w:val="clear" w:color="auto" w:fill="FBEFEF"/>
            <w:tcMar>
              <w:top w:w="100" w:type="dxa"/>
              <w:left w:w="140" w:type="dxa"/>
              <w:bottom w:w="100" w:type="dxa"/>
              <w:right w:w="140" w:type="dxa"/>
            </w:tcMar>
          </w:tcPr>
          <w:p w14:paraId="2EC46628" w14:textId="77777777" w:rsidR="00EB2E0D" w:rsidRDefault="00F605E4">
            <w:pPr>
              <w:spacing w:after="60"/>
            </w:pPr>
            <w:r>
              <w:rPr>
                <w:b/>
                <w:bCs/>
                <w:i/>
                <w:iCs/>
                <w:color w:val="7A1F1F"/>
                <w:sz w:val="20"/>
                <w:szCs w:val="20"/>
              </w:rPr>
              <w:t>Do not credit:</w:t>
            </w:r>
          </w:p>
          <w:p w14:paraId="3F8FD330" w14:textId="77777777" w:rsidR="00EB2E0D" w:rsidRDefault="00F605E4">
            <w:pPr>
              <w:spacing w:after="40"/>
              <w:ind w:left="200" w:hanging="200"/>
            </w:pPr>
            <w:r>
              <w:rPr>
                <w:color w:val="7A1F1F"/>
                <w:sz w:val="20"/>
                <w:szCs w:val="20"/>
              </w:rPr>
              <w:t xml:space="preserve">•  </w:t>
            </w:r>
            <w:r>
              <w:rPr>
                <w:i/>
                <w:iCs/>
                <w:color w:val="7A1F1F"/>
                <w:sz w:val="20"/>
                <w:szCs w:val="20"/>
              </w:rPr>
              <w:t>"Train staff better" without saying what about, or how it would help.</w:t>
            </w:r>
          </w:p>
          <w:p w14:paraId="0BA5BD4B" w14:textId="77777777" w:rsidR="00EB2E0D" w:rsidRDefault="00F605E4">
            <w:pPr>
              <w:spacing w:after="40"/>
              <w:ind w:left="200" w:hanging="200"/>
            </w:pPr>
            <w:r>
              <w:rPr>
                <w:color w:val="7A1F1F"/>
                <w:sz w:val="20"/>
                <w:szCs w:val="20"/>
              </w:rPr>
              <w:t xml:space="preserve">•  </w:t>
            </w:r>
            <w:r>
              <w:rPr>
                <w:i/>
                <w:iCs/>
                <w:color w:val="7A1F1F"/>
                <w:sz w:val="20"/>
                <w:szCs w:val="20"/>
              </w:rPr>
              <w:t>"CCTV in the office" — not a meaningful control against data exfiltration.</w:t>
            </w:r>
          </w:p>
        </w:tc>
      </w:tr>
    </w:tbl>
    <w:p w14:paraId="07F3BF8D" w14:textId="77777777" w:rsidR="00EB2E0D" w:rsidRDefault="00EB2E0D"/>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70C0"/>
        <w:tblCellMar>
          <w:left w:w="10" w:type="dxa"/>
          <w:right w:w="10" w:type="dxa"/>
        </w:tblCellMar>
        <w:tblLook w:val="0000" w:firstRow="0" w:lastRow="0" w:firstColumn="0" w:lastColumn="0" w:noHBand="0" w:noVBand="0"/>
      </w:tblPr>
      <w:tblGrid>
        <w:gridCol w:w="10460"/>
      </w:tblGrid>
      <w:tr w:rsidR="00EB2E0D" w14:paraId="301116E8" w14:textId="77777777" w:rsidTr="00603301">
        <w:tc>
          <w:tcPr>
            <w:tcW w:w="10460" w:type="dxa"/>
            <w:tcBorders>
              <w:top w:val="none" w:sz="0" w:space="0" w:color="FFFFFF"/>
              <w:left w:val="none" w:sz="0" w:space="0" w:color="FFFFFF"/>
              <w:bottom w:val="none" w:sz="0" w:space="0" w:color="FFFFFF"/>
              <w:right w:val="none" w:sz="0" w:space="0" w:color="FFFFFF"/>
            </w:tcBorders>
            <w:shd w:val="clear" w:color="auto" w:fill="0070C0"/>
            <w:tcMar>
              <w:top w:w="100" w:type="dxa"/>
              <w:left w:w="200" w:type="dxa"/>
              <w:bottom w:w="100" w:type="dxa"/>
              <w:right w:w="200" w:type="dxa"/>
            </w:tcMar>
          </w:tcPr>
          <w:p w14:paraId="2D083CCC" w14:textId="77777777" w:rsidR="00EB2E0D" w:rsidRDefault="00F605E4">
            <w:r>
              <w:rPr>
                <w:b/>
                <w:bCs/>
                <w:color w:val="FFFFFF"/>
                <w:sz w:val="26"/>
                <w:szCs w:val="26"/>
              </w:rPr>
              <w:t>Question 2</w:t>
            </w:r>
            <w:r>
              <w:rPr>
                <w:color w:val="FFFFFF"/>
                <w:sz w:val="26"/>
                <w:szCs w:val="26"/>
              </w:rPr>
              <w:t xml:space="preserve">   </w:t>
            </w:r>
            <w:r>
              <w:rPr>
                <w:i/>
                <w:iCs/>
                <w:color w:val="FFFFFF"/>
                <w:sz w:val="24"/>
                <w:szCs w:val="24"/>
              </w:rPr>
              <w:t>(5 marks)</w:t>
            </w:r>
          </w:p>
        </w:tc>
      </w:tr>
    </w:tbl>
    <w:p w14:paraId="1AA88FFC" w14:textId="77777777" w:rsidR="00EB2E0D" w:rsidRDefault="00EB2E0D"/>
    <w:p w14:paraId="4FA877E2" w14:textId="77777777" w:rsidR="00EB2E0D" w:rsidRDefault="00F605E4">
      <w:pPr>
        <w:spacing w:after="160"/>
      </w:pPr>
      <w:r>
        <w:rPr>
          <w:i/>
          <w:iCs/>
          <w:sz w:val="20"/>
          <w:szCs w:val="20"/>
        </w:rPr>
        <w:t>Rowland &amp; Steele Solicitors scenario: junior paralegal Maya, who has had no email-handling training, accepts an auto-complete suggestion and sends a witness statement to the wrong recipient.</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60"/>
        <w:gridCol w:w="1700"/>
      </w:tblGrid>
      <w:tr w:rsidR="00EB2E0D" w14:paraId="0463F33C" w14:textId="77777777" w:rsidTr="00603301">
        <w:trPr>
          <w:tblHeader/>
        </w:trPr>
        <w:tc>
          <w:tcPr>
            <w:tcW w:w="8760" w:type="dxa"/>
            <w:tcBorders>
              <w:top w:val="single" w:sz="4" w:space="0" w:color="888888"/>
              <w:left w:val="single" w:sz="4" w:space="0" w:color="888888"/>
              <w:bottom w:val="single" w:sz="4" w:space="0" w:color="888888"/>
              <w:right w:val="single" w:sz="4" w:space="0" w:color="888888"/>
            </w:tcBorders>
            <w:shd w:val="clear" w:color="auto" w:fill="DAE9F7" w:themeFill="text2" w:themeFillTint="1A"/>
            <w:tcMar>
              <w:top w:w="100" w:type="dxa"/>
              <w:left w:w="140" w:type="dxa"/>
              <w:bottom w:w="100" w:type="dxa"/>
              <w:right w:w="140" w:type="dxa"/>
            </w:tcMar>
          </w:tcPr>
          <w:p w14:paraId="0D0C01EE" w14:textId="77777777" w:rsidR="00EB2E0D" w:rsidRDefault="00F605E4">
            <w:r>
              <w:rPr>
                <w:b/>
                <w:bCs/>
              </w:rPr>
              <w:t>2(a)   Identify the type of internal threat shown in this scenario.</w:t>
            </w:r>
          </w:p>
        </w:tc>
        <w:tc>
          <w:tcPr>
            <w:tcW w:w="1700" w:type="dxa"/>
            <w:tcBorders>
              <w:top w:val="single" w:sz="4" w:space="0" w:color="888888"/>
              <w:left w:val="single" w:sz="4" w:space="0" w:color="888888"/>
              <w:bottom w:val="single" w:sz="4" w:space="0" w:color="888888"/>
              <w:right w:val="single" w:sz="4" w:space="0" w:color="888888"/>
            </w:tcBorders>
            <w:shd w:val="clear" w:color="auto" w:fill="DAE9F7" w:themeFill="text2" w:themeFillTint="1A"/>
            <w:tcMar>
              <w:top w:w="100" w:type="dxa"/>
              <w:left w:w="140" w:type="dxa"/>
              <w:bottom w:w="100" w:type="dxa"/>
              <w:right w:w="140" w:type="dxa"/>
            </w:tcMar>
          </w:tcPr>
          <w:p w14:paraId="20B2BF5C" w14:textId="77777777" w:rsidR="00EB2E0D" w:rsidRDefault="00F605E4" w:rsidP="00603301">
            <w:pPr>
              <w:jc w:val="center"/>
            </w:pPr>
            <w:r>
              <w:rPr>
                <w:b/>
                <w:bCs/>
              </w:rPr>
              <w:t>[1]</w:t>
            </w:r>
          </w:p>
        </w:tc>
      </w:tr>
      <w:tr w:rsidR="00EB2E0D" w14:paraId="321CDE41" w14:textId="77777777">
        <w:trPr>
          <w:cantSplit/>
        </w:trPr>
        <w:tc>
          <w:tcPr>
            <w:tcW w:w="10460" w:type="dxa"/>
            <w:gridSpan w:val="2"/>
            <w:tcBorders>
              <w:top w:val="single" w:sz="4" w:space="0" w:color="888888"/>
              <w:left w:val="single" w:sz="18" w:space="0" w:color="0070C0"/>
              <w:bottom w:val="single" w:sz="4" w:space="0" w:color="888888"/>
              <w:right w:val="single" w:sz="4" w:space="0" w:color="888888"/>
            </w:tcBorders>
            <w:shd w:val="clear" w:color="auto" w:fill="F2F5F9"/>
            <w:tcMar>
              <w:top w:w="100" w:type="dxa"/>
              <w:left w:w="140" w:type="dxa"/>
              <w:bottom w:w="100" w:type="dxa"/>
              <w:right w:w="140" w:type="dxa"/>
            </w:tcMar>
          </w:tcPr>
          <w:p w14:paraId="0976EADD" w14:textId="77777777" w:rsidR="00EB2E0D" w:rsidRDefault="00F605E4">
            <w:r>
              <w:rPr>
                <w:b/>
                <w:bCs/>
                <w:i/>
                <w:iCs/>
                <w:color w:val="2E5A86"/>
                <w:sz w:val="20"/>
                <w:szCs w:val="20"/>
              </w:rPr>
              <w:t xml:space="preserve">Marking: </w:t>
            </w:r>
            <w:r>
              <w:rPr>
                <w:i/>
                <w:iCs/>
                <w:color w:val="2E5A86"/>
                <w:sz w:val="20"/>
                <w:szCs w:val="20"/>
              </w:rPr>
              <w:t>1 mark for correctly identifying the type of internal threat. Maximum 1 (1 mark total).</w:t>
            </w:r>
          </w:p>
        </w:tc>
      </w:tr>
      <w:tr w:rsidR="00EB2E0D" w14:paraId="51A292CC" w14:textId="77777777">
        <w:tc>
          <w:tcPr>
            <w:tcW w:w="8760" w:type="dxa"/>
            <w:tcBorders>
              <w:top w:val="single" w:sz="4" w:space="0" w:color="888888"/>
              <w:left w:val="single" w:sz="4" w:space="0" w:color="888888"/>
              <w:bottom w:val="single" w:sz="4" w:space="0" w:color="888888"/>
              <w:right w:val="single" w:sz="4" w:space="0" w:color="888888"/>
            </w:tcBorders>
            <w:tcMar>
              <w:top w:w="100" w:type="dxa"/>
              <w:left w:w="140" w:type="dxa"/>
              <w:bottom w:w="100" w:type="dxa"/>
              <w:right w:w="140" w:type="dxa"/>
            </w:tcMar>
          </w:tcPr>
          <w:p w14:paraId="18871F69" w14:textId="77777777" w:rsidR="00EB2E0D" w:rsidRDefault="00F605E4">
            <w:r>
              <w:t>Accidental loss / accidental disclosure of data.</w:t>
            </w:r>
          </w:p>
        </w:tc>
        <w:tc>
          <w:tcPr>
            <w:tcW w:w="1700" w:type="dxa"/>
            <w:tcBorders>
              <w:top w:val="single" w:sz="4" w:space="0" w:color="888888"/>
              <w:left w:val="single" w:sz="4" w:space="0" w:color="888888"/>
              <w:bottom w:val="single" w:sz="4" w:space="0" w:color="888888"/>
              <w:right w:val="single" w:sz="4" w:space="0" w:color="888888"/>
            </w:tcBorders>
            <w:tcMar>
              <w:top w:w="100" w:type="dxa"/>
              <w:left w:w="140" w:type="dxa"/>
              <w:bottom w:w="100" w:type="dxa"/>
              <w:right w:w="140" w:type="dxa"/>
            </w:tcMar>
          </w:tcPr>
          <w:p w14:paraId="12CCB0AD" w14:textId="77777777" w:rsidR="00EB2E0D" w:rsidRDefault="00F605E4">
            <w:pPr>
              <w:jc w:val="center"/>
            </w:pPr>
            <w:r>
              <w:rPr>
                <w:b/>
                <w:bCs/>
              </w:rPr>
              <w:t>(1)</w:t>
            </w:r>
          </w:p>
        </w:tc>
      </w:tr>
      <w:tr w:rsidR="00EB2E0D" w14:paraId="04B94AB7" w14:textId="77777777">
        <w:tc>
          <w:tcPr>
            <w:tcW w:w="10460" w:type="dxa"/>
            <w:gridSpan w:val="2"/>
            <w:tcBorders>
              <w:top w:val="single" w:sz="4" w:space="0" w:color="888888"/>
              <w:left w:val="single" w:sz="18" w:space="0" w:color="C8960C"/>
              <w:bottom w:val="single" w:sz="4" w:space="0" w:color="888888"/>
              <w:right w:val="single" w:sz="4" w:space="0" w:color="888888"/>
            </w:tcBorders>
            <w:shd w:val="clear" w:color="auto" w:fill="FFF8E1"/>
            <w:tcMar>
              <w:top w:w="100" w:type="dxa"/>
              <w:left w:w="140" w:type="dxa"/>
              <w:bottom w:w="100" w:type="dxa"/>
              <w:right w:w="140" w:type="dxa"/>
            </w:tcMar>
          </w:tcPr>
          <w:p w14:paraId="64E66D8E" w14:textId="77777777" w:rsidR="00EB2E0D" w:rsidRDefault="00F605E4">
            <w:pPr>
              <w:spacing w:after="60"/>
            </w:pPr>
            <w:r>
              <w:rPr>
                <w:b/>
                <w:bCs/>
                <w:i/>
                <w:iCs/>
                <w:color w:val="7A5C00"/>
                <w:sz w:val="20"/>
                <w:szCs w:val="20"/>
              </w:rPr>
              <w:t>Accept also:</w:t>
            </w:r>
          </w:p>
          <w:p w14:paraId="7705CB6E" w14:textId="77777777" w:rsidR="00EB2E0D" w:rsidRDefault="00F605E4">
            <w:pPr>
              <w:spacing w:after="40"/>
              <w:ind w:left="200" w:hanging="200"/>
            </w:pPr>
            <w:r>
              <w:rPr>
                <w:color w:val="7A5C00"/>
                <w:sz w:val="20"/>
                <w:szCs w:val="20"/>
              </w:rPr>
              <w:t xml:space="preserve">•  </w:t>
            </w:r>
            <w:r>
              <w:rPr>
                <w:i/>
                <w:iCs/>
                <w:color w:val="7A5C00"/>
                <w:sz w:val="20"/>
                <w:szCs w:val="20"/>
              </w:rPr>
              <w:t>Accidental data breach.</w:t>
            </w:r>
          </w:p>
          <w:p w14:paraId="345A3BEA" w14:textId="77777777" w:rsidR="00EB2E0D" w:rsidRDefault="00F605E4">
            <w:pPr>
              <w:spacing w:after="40"/>
              <w:ind w:left="200" w:hanging="200"/>
            </w:pPr>
            <w:r>
              <w:rPr>
                <w:color w:val="7A5C00"/>
                <w:sz w:val="20"/>
                <w:szCs w:val="20"/>
              </w:rPr>
              <w:t xml:space="preserve">•  </w:t>
            </w:r>
            <w:r>
              <w:rPr>
                <w:i/>
                <w:iCs/>
                <w:color w:val="7A5C00"/>
                <w:sz w:val="20"/>
                <w:szCs w:val="20"/>
              </w:rPr>
              <w:t>Human error leading to disclosure of confidential information.</w:t>
            </w:r>
          </w:p>
        </w:tc>
      </w:tr>
      <w:tr w:rsidR="00EB2E0D" w14:paraId="5BA13BE1" w14:textId="77777777">
        <w:tc>
          <w:tcPr>
            <w:tcW w:w="10460" w:type="dxa"/>
            <w:gridSpan w:val="2"/>
            <w:tcBorders>
              <w:top w:val="single" w:sz="4" w:space="0" w:color="888888"/>
              <w:left w:val="single" w:sz="18" w:space="0" w:color="B23A3A"/>
              <w:bottom w:val="single" w:sz="4" w:space="0" w:color="888888"/>
              <w:right w:val="single" w:sz="4" w:space="0" w:color="888888"/>
            </w:tcBorders>
            <w:shd w:val="clear" w:color="auto" w:fill="FBEFEF"/>
            <w:tcMar>
              <w:top w:w="100" w:type="dxa"/>
              <w:left w:w="140" w:type="dxa"/>
              <w:bottom w:w="100" w:type="dxa"/>
              <w:right w:w="140" w:type="dxa"/>
            </w:tcMar>
          </w:tcPr>
          <w:p w14:paraId="537405A0" w14:textId="77777777" w:rsidR="00EB2E0D" w:rsidRDefault="00F605E4">
            <w:pPr>
              <w:spacing w:after="60"/>
            </w:pPr>
            <w:r>
              <w:rPr>
                <w:b/>
                <w:bCs/>
                <w:i/>
                <w:iCs/>
                <w:color w:val="7A1F1F"/>
                <w:sz w:val="20"/>
                <w:szCs w:val="20"/>
              </w:rPr>
              <w:t>Do not credit:</w:t>
            </w:r>
          </w:p>
          <w:p w14:paraId="2508BF57" w14:textId="77777777" w:rsidR="00EB2E0D" w:rsidRDefault="00F605E4">
            <w:pPr>
              <w:spacing w:after="40"/>
              <w:ind w:left="200" w:hanging="200"/>
            </w:pPr>
            <w:r>
              <w:rPr>
                <w:color w:val="7A1F1F"/>
                <w:sz w:val="20"/>
                <w:szCs w:val="20"/>
              </w:rPr>
              <w:t xml:space="preserve">•  </w:t>
            </w:r>
            <w:r>
              <w:rPr>
                <w:i/>
                <w:iCs/>
                <w:color w:val="7A1F1F"/>
                <w:sz w:val="20"/>
                <w:szCs w:val="20"/>
              </w:rPr>
              <w:t>"Hacking", "phishing", or any attack-based answer (the scenario is not a deliberate attack).</w:t>
            </w:r>
          </w:p>
        </w:tc>
      </w:tr>
    </w:tbl>
    <w:p w14:paraId="53830752" w14:textId="77777777" w:rsidR="00EB2E0D" w:rsidRDefault="00EB2E0D"/>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60"/>
        <w:gridCol w:w="1700"/>
      </w:tblGrid>
      <w:tr w:rsidR="00EB2E0D" w14:paraId="630010BD" w14:textId="77777777" w:rsidTr="00603301">
        <w:trPr>
          <w:tblHeader/>
        </w:trPr>
        <w:tc>
          <w:tcPr>
            <w:tcW w:w="8760" w:type="dxa"/>
            <w:tcBorders>
              <w:top w:val="single" w:sz="4" w:space="0" w:color="888888"/>
              <w:left w:val="single" w:sz="4" w:space="0" w:color="888888"/>
              <w:bottom w:val="single" w:sz="4" w:space="0" w:color="888888"/>
              <w:right w:val="single" w:sz="4" w:space="0" w:color="888888"/>
            </w:tcBorders>
            <w:shd w:val="clear" w:color="auto" w:fill="DAE9F7" w:themeFill="text2" w:themeFillTint="1A"/>
            <w:tcMar>
              <w:top w:w="100" w:type="dxa"/>
              <w:left w:w="140" w:type="dxa"/>
              <w:bottom w:w="100" w:type="dxa"/>
              <w:right w:w="140" w:type="dxa"/>
            </w:tcMar>
          </w:tcPr>
          <w:p w14:paraId="64BCB3CC" w14:textId="77777777" w:rsidR="00EB2E0D" w:rsidRDefault="00F605E4">
            <w:r>
              <w:rPr>
                <w:b/>
                <w:bCs/>
              </w:rPr>
              <w:t>2(b)   Explain two underlying causes that contributed to the disclosure.</w:t>
            </w:r>
          </w:p>
        </w:tc>
        <w:tc>
          <w:tcPr>
            <w:tcW w:w="1700" w:type="dxa"/>
            <w:tcBorders>
              <w:top w:val="single" w:sz="4" w:space="0" w:color="888888"/>
              <w:left w:val="single" w:sz="4" w:space="0" w:color="888888"/>
              <w:bottom w:val="single" w:sz="4" w:space="0" w:color="888888"/>
              <w:right w:val="single" w:sz="4" w:space="0" w:color="888888"/>
            </w:tcBorders>
            <w:shd w:val="clear" w:color="auto" w:fill="DAE9F7" w:themeFill="text2" w:themeFillTint="1A"/>
            <w:tcMar>
              <w:top w:w="100" w:type="dxa"/>
              <w:left w:w="140" w:type="dxa"/>
              <w:bottom w:w="100" w:type="dxa"/>
              <w:right w:w="140" w:type="dxa"/>
            </w:tcMar>
          </w:tcPr>
          <w:p w14:paraId="364A7F3D" w14:textId="77777777" w:rsidR="00EB2E0D" w:rsidRDefault="00F605E4" w:rsidP="00603301">
            <w:pPr>
              <w:jc w:val="center"/>
            </w:pPr>
            <w:r>
              <w:rPr>
                <w:b/>
                <w:bCs/>
              </w:rPr>
              <w:t>[4]</w:t>
            </w:r>
          </w:p>
        </w:tc>
      </w:tr>
      <w:tr w:rsidR="00EB2E0D" w14:paraId="4E9BB399" w14:textId="77777777">
        <w:trPr>
          <w:cantSplit/>
        </w:trPr>
        <w:tc>
          <w:tcPr>
            <w:tcW w:w="10460" w:type="dxa"/>
            <w:gridSpan w:val="2"/>
            <w:tcBorders>
              <w:top w:val="single" w:sz="4" w:space="0" w:color="888888"/>
              <w:left w:val="single" w:sz="18" w:space="0" w:color="0070C0"/>
              <w:bottom w:val="single" w:sz="4" w:space="0" w:color="888888"/>
              <w:right w:val="single" w:sz="4" w:space="0" w:color="888888"/>
            </w:tcBorders>
            <w:shd w:val="clear" w:color="auto" w:fill="F2F5F9"/>
            <w:tcMar>
              <w:top w:w="100" w:type="dxa"/>
              <w:left w:w="140" w:type="dxa"/>
              <w:bottom w:w="100" w:type="dxa"/>
              <w:right w:w="140" w:type="dxa"/>
            </w:tcMar>
          </w:tcPr>
          <w:p w14:paraId="148F0ABD" w14:textId="77777777" w:rsidR="00EB2E0D" w:rsidRDefault="00F605E4">
            <w:r>
              <w:rPr>
                <w:b/>
                <w:bCs/>
                <w:i/>
                <w:iCs/>
                <w:color w:val="2E5A86"/>
                <w:sz w:val="20"/>
                <w:szCs w:val="20"/>
              </w:rPr>
              <w:t xml:space="preserve">Marking: </w:t>
            </w:r>
            <w:r>
              <w:rPr>
                <w:i/>
                <w:iCs/>
                <w:color w:val="2E5A86"/>
                <w:sz w:val="20"/>
                <w:szCs w:val="20"/>
              </w:rPr>
              <w:t>1 mark for naming each relevant cause + 1 mark for linking the cause to the scenario. Maximum 2 causes (4 marks total).</w:t>
            </w:r>
          </w:p>
        </w:tc>
      </w:tr>
      <w:tr w:rsidR="00EB2E0D" w14:paraId="2C07CB4F" w14:textId="77777777" w:rsidTr="00E434E6">
        <w:tc>
          <w:tcPr>
            <w:tcW w:w="8760" w:type="dxa"/>
            <w:tcBorders>
              <w:top w:val="single" w:sz="4" w:space="0" w:color="888888"/>
              <w:left w:val="single" w:sz="4" w:space="0" w:color="888888"/>
              <w:bottom w:val="single" w:sz="4" w:space="0" w:color="888888"/>
              <w:right w:val="single" w:sz="4" w:space="0" w:color="888888"/>
            </w:tcBorders>
            <w:tcMar>
              <w:top w:w="100" w:type="dxa"/>
              <w:left w:w="140" w:type="dxa"/>
              <w:bottom w:w="100" w:type="dxa"/>
              <w:right w:w="140" w:type="dxa"/>
            </w:tcMar>
          </w:tcPr>
          <w:p w14:paraId="4645E49A" w14:textId="77777777" w:rsidR="00EB2E0D" w:rsidRDefault="00F605E4">
            <w:r>
              <w:t>Poor training — Maya has not received any specific training on handling confidential client correspondence by email and so has not been taught to verify recipient addresses.</w:t>
            </w:r>
          </w:p>
        </w:tc>
        <w:tc>
          <w:tcPr>
            <w:tcW w:w="1700" w:type="dxa"/>
            <w:tcBorders>
              <w:top w:val="single" w:sz="4" w:space="0" w:color="888888"/>
              <w:left w:val="single" w:sz="4" w:space="0" w:color="888888"/>
              <w:bottom w:val="single" w:sz="4" w:space="0" w:color="888888"/>
              <w:right w:val="single" w:sz="4" w:space="0" w:color="888888"/>
            </w:tcBorders>
            <w:tcMar>
              <w:top w:w="100" w:type="dxa"/>
              <w:left w:w="140" w:type="dxa"/>
              <w:bottom w:w="100" w:type="dxa"/>
              <w:right w:w="140" w:type="dxa"/>
            </w:tcMar>
            <w:vAlign w:val="center"/>
          </w:tcPr>
          <w:p w14:paraId="025FB0A1" w14:textId="77777777" w:rsidR="00EB2E0D" w:rsidRDefault="00F605E4" w:rsidP="00E434E6">
            <w:pPr>
              <w:jc w:val="center"/>
            </w:pPr>
            <w:r>
              <w:rPr>
                <w:b/>
                <w:bCs/>
              </w:rPr>
              <w:t>(1+1)</w:t>
            </w:r>
          </w:p>
        </w:tc>
      </w:tr>
      <w:tr w:rsidR="00EB2E0D" w14:paraId="22AB3398" w14:textId="77777777" w:rsidTr="00E434E6">
        <w:tc>
          <w:tcPr>
            <w:tcW w:w="8760" w:type="dxa"/>
            <w:tcBorders>
              <w:top w:val="single" w:sz="4" w:space="0" w:color="888888"/>
              <w:left w:val="single" w:sz="4" w:space="0" w:color="888888"/>
              <w:bottom w:val="single" w:sz="4" w:space="0" w:color="888888"/>
              <w:right w:val="single" w:sz="4" w:space="0" w:color="888888"/>
            </w:tcBorders>
            <w:tcMar>
              <w:top w:w="100" w:type="dxa"/>
              <w:left w:w="140" w:type="dxa"/>
              <w:bottom w:w="100" w:type="dxa"/>
              <w:right w:w="140" w:type="dxa"/>
            </w:tcMar>
          </w:tcPr>
          <w:p w14:paraId="420F5FBB" w14:textId="77777777" w:rsidR="00EB2E0D" w:rsidRDefault="00F605E4">
            <w:r>
              <w:lastRenderedPageBreak/>
              <w:t>Negligence — Maya accepted the first auto-complete suggestion without re-checking the full email address before pressing send.</w:t>
            </w:r>
          </w:p>
        </w:tc>
        <w:tc>
          <w:tcPr>
            <w:tcW w:w="1700" w:type="dxa"/>
            <w:tcBorders>
              <w:top w:val="single" w:sz="4" w:space="0" w:color="888888"/>
              <w:left w:val="single" w:sz="4" w:space="0" w:color="888888"/>
              <w:bottom w:val="single" w:sz="4" w:space="0" w:color="888888"/>
              <w:right w:val="single" w:sz="4" w:space="0" w:color="888888"/>
            </w:tcBorders>
            <w:tcMar>
              <w:top w:w="100" w:type="dxa"/>
              <w:left w:w="140" w:type="dxa"/>
              <w:bottom w:w="100" w:type="dxa"/>
              <w:right w:w="140" w:type="dxa"/>
            </w:tcMar>
            <w:vAlign w:val="center"/>
          </w:tcPr>
          <w:p w14:paraId="62D86518" w14:textId="77777777" w:rsidR="00EB2E0D" w:rsidRDefault="00F605E4" w:rsidP="00E434E6">
            <w:pPr>
              <w:jc w:val="center"/>
            </w:pPr>
            <w:r>
              <w:rPr>
                <w:b/>
                <w:bCs/>
              </w:rPr>
              <w:t>(1+1)</w:t>
            </w:r>
          </w:p>
        </w:tc>
      </w:tr>
      <w:tr w:rsidR="00EB2E0D" w14:paraId="2396D272" w14:textId="77777777">
        <w:tc>
          <w:tcPr>
            <w:tcW w:w="10460" w:type="dxa"/>
            <w:gridSpan w:val="2"/>
            <w:tcBorders>
              <w:top w:val="single" w:sz="4" w:space="0" w:color="888888"/>
              <w:left w:val="single" w:sz="18" w:space="0" w:color="C8960C"/>
              <w:bottom w:val="single" w:sz="4" w:space="0" w:color="888888"/>
              <w:right w:val="single" w:sz="4" w:space="0" w:color="888888"/>
            </w:tcBorders>
            <w:shd w:val="clear" w:color="auto" w:fill="FFF8E1"/>
            <w:tcMar>
              <w:top w:w="100" w:type="dxa"/>
              <w:left w:w="140" w:type="dxa"/>
              <w:bottom w:w="100" w:type="dxa"/>
              <w:right w:w="140" w:type="dxa"/>
            </w:tcMar>
          </w:tcPr>
          <w:p w14:paraId="1CE71AF3" w14:textId="77777777" w:rsidR="00EB2E0D" w:rsidRDefault="00F605E4">
            <w:pPr>
              <w:spacing w:after="60"/>
            </w:pPr>
            <w:r>
              <w:rPr>
                <w:b/>
                <w:bCs/>
                <w:i/>
                <w:iCs/>
                <w:color w:val="7A5C00"/>
                <w:sz w:val="20"/>
                <w:szCs w:val="20"/>
              </w:rPr>
              <w:t>Accept also:</w:t>
            </w:r>
          </w:p>
          <w:p w14:paraId="69018FC0" w14:textId="77777777" w:rsidR="00EB2E0D" w:rsidRDefault="00F605E4">
            <w:pPr>
              <w:spacing w:after="40"/>
              <w:ind w:left="200" w:hanging="200"/>
            </w:pPr>
            <w:r>
              <w:rPr>
                <w:color w:val="7A5C00"/>
                <w:sz w:val="20"/>
                <w:szCs w:val="20"/>
              </w:rPr>
              <w:t xml:space="preserve">•  </w:t>
            </w:r>
            <w:r>
              <w:rPr>
                <w:i/>
                <w:iCs/>
                <w:color w:val="7A5C00"/>
                <w:sz w:val="20"/>
                <w:szCs w:val="20"/>
              </w:rPr>
              <w:t>Weak security culture — the firm allowed Maya to develop the habit ("I’ve always sent emails that way") without anyone correcting her or noticing.</w:t>
            </w:r>
          </w:p>
          <w:p w14:paraId="7BF4B0C8" w14:textId="77777777" w:rsidR="00EB2E0D" w:rsidRDefault="00F605E4">
            <w:pPr>
              <w:spacing w:after="40"/>
              <w:ind w:left="200" w:hanging="200"/>
            </w:pPr>
            <w:r>
              <w:rPr>
                <w:color w:val="7A5C00"/>
                <w:sz w:val="20"/>
                <w:szCs w:val="20"/>
              </w:rPr>
              <w:t xml:space="preserve">•  </w:t>
            </w:r>
            <w:r>
              <w:rPr>
                <w:i/>
                <w:iCs/>
                <w:color w:val="7A5C00"/>
                <w:sz w:val="20"/>
                <w:szCs w:val="20"/>
              </w:rPr>
              <w:t>Not following procedures — if the firm has an email-verification procedure that Maya was not following.</w:t>
            </w:r>
          </w:p>
          <w:p w14:paraId="752EE868" w14:textId="77777777" w:rsidR="00EB2E0D" w:rsidRDefault="00F605E4">
            <w:pPr>
              <w:spacing w:after="40"/>
              <w:ind w:left="200" w:hanging="200"/>
            </w:pPr>
            <w:r>
              <w:rPr>
                <w:color w:val="7A5C00"/>
                <w:sz w:val="20"/>
                <w:szCs w:val="20"/>
              </w:rPr>
              <w:t xml:space="preserve">•  </w:t>
            </w:r>
            <w:r>
              <w:rPr>
                <w:i/>
                <w:iCs/>
                <w:color w:val="7A5C00"/>
                <w:sz w:val="20"/>
                <w:szCs w:val="20"/>
              </w:rPr>
              <w:t>Award full credit for any two distinct causes drawn from the lesson categories (negligence, poor training, not following procedures, inadequate monitoring, weak culture), provided each is linked to specific evidence in the scenario.</w:t>
            </w:r>
          </w:p>
        </w:tc>
      </w:tr>
      <w:tr w:rsidR="00EB2E0D" w14:paraId="45DAAECF" w14:textId="77777777">
        <w:tc>
          <w:tcPr>
            <w:tcW w:w="10460" w:type="dxa"/>
            <w:gridSpan w:val="2"/>
            <w:tcBorders>
              <w:top w:val="single" w:sz="4" w:space="0" w:color="888888"/>
              <w:left w:val="single" w:sz="18" w:space="0" w:color="B23A3A"/>
              <w:bottom w:val="single" w:sz="4" w:space="0" w:color="888888"/>
              <w:right w:val="single" w:sz="4" w:space="0" w:color="888888"/>
            </w:tcBorders>
            <w:shd w:val="clear" w:color="auto" w:fill="FBEFEF"/>
            <w:tcMar>
              <w:top w:w="100" w:type="dxa"/>
              <w:left w:w="140" w:type="dxa"/>
              <w:bottom w:w="100" w:type="dxa"/>
              <w:right w:w="140" w:type="dxa"/>
            </w:tcMar>
          </w:tcPr>
          <w:p w14:paraId="6C143235" w14:textId="77777777" w:rsidR="00EB2E0D" w:rsidRDefault="00F605E4">
            <w:pPr>
              <w:spacing w:after="60"/>
            </w:pPr>
            <w:r>
              <w:rPr>
                <w:b/>
                <w:bCs/>
                <w:i/>
                <w:iCs/>
                <w:color w:val="7A1F1F"/>
                <w:sz w:val="20"/>
                <w:szCs w:val="20"/>
              </w:rPr>
              <w:t>Do not credit:</w:t>
            </w:r>
          </w:p>
          <w:p w14:paraId="5DD71071" w14:textId="77777777" w:rsidR="00EB2E0D" w:rsidRDefault="00F605E4">
            <w:pPr>
              <w:spacing w:after="40"/>
              <w:ind w:left="200" w:hanging="200"/>
            </w:pPr>
            <w:r>
              <w:rPr>
                <w:color w:val="7A1F1F"/>
                <w:sz w:val="20"/>
                <w:szCs w:val="20"/>
              </w:rPr>
              <w:t xml:space="preserve">•  </w:t>
            </w:r>
            <w:r>
              <w:rPr>
                <w:i/>
                <w:iCs/>
                <w:color w:val="7A1F1F"/>
                <w:sz w:val="20"/>
                <w:szCs w:val="20"/>
              </w:rPr>
              <w:t>Two answers that are essentially the same cause restated (e.g. "no training" and "she didn’t know what to do") — award one mark pair only.</w:t>
            </w:r>
          </w:p>
          <w:p w14:paraId="1E9E9C30" w14:textId="77777777" w:rsidR="00EB2E0D" w:rsidRDefault="00F605E4">
            <w:pPr>
              <w:spacing w:after="40"/>
              <w:ind w:left="200" w:hanging="200"/>
            </w:pPr>
            <w:r>
              <w:rPr>
                <w:color w:val="7A1F1F"/>
                <w:sz w:val="20"/>
                <w:szCs w:val="20"/>
              </w:rPr>
              <w:t xml:space="preserve">•  </w:t>
            </w:r>
            <w:r>
              <w:rPr>
                <w:i/>
                <w:iCs/>
                <w:color w:val="7A1F1F"/>
                <w:sz w:val="20"/>
                <w:szCs w:val="20"/>
              </w:rPr>
              <w:t>"It was an accident" — the question asks for underlying causes, not a description of the event.</w:t>
            </w:r>
          </w:p>
        </w:tc>
      </w:tr>
    </w:tbl>
    <w:p w14:paraId="71711F13" w14:textId="77777777" w:rsidR="00EB2E0D" w:rsidRDefault="00F605E4">
      <w:pPr>
        <w:pBdr>
          <w:top w:val="single" w:sz="6" w:space="6" w:color="000000"/>
        </w:pBdr>
        <w:spacing w:before="480"/>
        <w:jc w:val="right"/>
      </w:pPr>
      <w:r>
        <w:rPr>
          <w:b/>
          <w:bCs/>
          <w:sz w:val="26"/>
          <w:szCs w:val="26"/>
        </w:rPr>
        <w:t>Total: 15 marks</w:t>
      </w:r>
    </w:p>
    <w:sectPr w:rsidR="00EB2E0D">
      <w:headerReference w:type="default" r:id="rId9"/>
      <w:footerReference w:type="default" r:id="rId10"/>
      <w:pgSz w:w="11906" w:h="16838"/>
      <w:pgMar w:top="720" w:right="720" w:bottom="720" w:left="72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1EF22" w14:textId="77777777" w:rsidR="00F873AA" w:rsidRDefault="00F873AA">
      <w:r>
        <w:separator/>
      </w:r>
    </w:p>
  </w:endnote>
  <w:endnote w:type="continuationSeparator" w:id="0">
    <w:p w14:paraId="024787AB" w14:textId="77777777" w:rsidR="00F873AA" w:rsidRDefault="00F87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3A454" w14:textId="77777777" w:rsidR="00EB2E0D" w:rsidRDefault="00F605E4">
    <w:pPr>
      <w:jc w:val="center"/>
    </w:pPr>
    <w:r>
      <w:rPr>
        <w:color w:val="666666"/>
        <w:sz w:val="18"/>
        <w:szCs w:val="18"/>
      </w:rPr>
      <w:t xml:space="preserve">Page </w:t>
    </w:r>
    <w:r>
      <w:rPr>
        <w:color w:val="666666"/>
        <w:sz w:val="18"/>
        <w:szCs w:val="18"/>
      </w:rPr>
      <w:fldChar w:fldCharType="begin"/>
    </w:r>
    <w:r>
      <w:rPr>
        <w:color w:val="666666"/>
        <w:sz w:val="18"/>
        <w:szCs w:val="18"/>
      </w:rPr>
      <w:instrText>PAGE</w:instrText>
    </w:r>
    <w:r>
      <w:rPr>
        <w:color w:val="666666"/>
        <w:sz w:val="18"/>
        <w:szCs w:val="18"/>
      </w:rPr>
      <w:fldChar w:fldCharType="separate"/>
    </w:r>
    <w:r w:rsidR="00B603D3">
      <w:rPr>
        <w:noProof/>
        <w:color w:val="666666"/>
        <w:sz w:val="18"/>
        <w:szCs w:val="18"/>
      </w:rPr>
      <w:t>1</w:t>
    </w:r>
    <w:r>
      <w:rPr>
        <w:color w:val="666666"/>
        <w:sz w:val="18"/>
        <w:szCs w:val="18"/>
      </w:rPr>
      <w:fldChar w:fldCharType="end"/>
    </w:r>
    <w:r>
      <w:rPr>
        <w:color w:val="666666"/>
        <w:sz w:val="18"/>
        <w:szCs w:val="18"/>
      </w:rPr>
      <w:t xml:space="preserve"> of </w:t>
    </w:r>
    <w:r>
      <w:rPr>
        <w:color w:val="666666"/>
        <w:sz w:val="18"/>
        <w:szCs w:val="18"/>
      </w:rPr>
      <w:fldChar w:fldCharType="begin"/>
    </w:r>
    <w:r>
      <w:rPr>
        <w:color w:val="666666"/>
        <w:sz w:val="18"/>
        <w:szCs w:val="18"/>
      </w:rPr>
      <w:instrText>NUMPAGES</w:instrText>
    </w:r>
    <w:r>
      <w:rPr>
        <w:color w:val="666666"/>
        <w:sz w:val="18"/>
        <w:szCs w:val="18"/>
      </w:rPr>
      <w:fldChar w:fldCharType="separate"/>
    </w:r>
    <w:r w:rsidR="00B603D3">
      <w:rPr>
        <w:noProof/>
        <w:color w:val="666666"/>
        <w:sz w:val="18"/>
        <w:szCs w:val="18"/>
      </w:rPr>
      <w:t>2</w:t>
    </w:r>
    <w:r>
      <w:rPr>
        <w:color w:val="66666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5DDE9" w14:textId="77777777" w:rsidR="00F873AA" w:rsidRDefault="00F873AA">
      <w:r>
        <w:separator/>
      </w:r>
    </w:p>
  </w:footnote>
  <w:footnote w:type="continuationSeparator" w:id="0">
    <w:p w14:paraId="614892AC" w14:textId="77777777" w:rsidR="00F873AA" w:rsidRDefault="00F87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EED27" w14:textId="77777777" w:rsidR="00EB2E0D" w:rsidRDefault="00EB2E0D">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37D68"/>
    <w:multiLevelType w:val="hybridMultilevel"/>
    <w:tmpl w:val="BDE6BBE8"/>
    <w:lvl w:ilvl="0" w:tplc="588A394A">
      <w:start w:val="1"/>
      <w:numFmt w:val="bullet"/>
      <w:lvlText w:val="●"/>
      <w:lvlJc w:val="left"/>
      <w:pPr>
        <w:ind w:left="720" w:hanging="360"/>
      </w:pPr>
    </w:lvl>
    <w:lvl w:ilvl="1" w:tplc="366411EC">
      <w:start w:val="1"/>
      <w:numFmt w:val="bullet"/>
      <w:lvlText w:val="○"/>
      <w:lvlJc w:val="left"/>
      <w:pPr>
        <w:ind w:left="1440" w:hanging="360"/>
      </w:pPr>
    </w:lvl>
    <w:lvl w:ilvl="2" w:tplc="EA1A76FA">
      <w:start w:val="1"/>
      <w:numFmt w:val="bullet"/>
      <w:lvlText w:val="■"/>
      <w:lvlJc w:val="left"/>
      <w:pPr>
        <w:ind w:left="2160" w:hanging="360"/>
      </w:pPr>
    </w:lvl>
    <w:lvl w:ilvl="3" w:tplc="D9123B34">
      <w:start w:val="1"/>
      <w:numFmt w:val="bullet"/>
      <w:lvlText w:val="●"/>
      <w:lvlJc w:val="left"/>
      <w:pPr>
        <w:ind w:left="2880" w:hanging="360"/>
      </w:pPr>
    </w:lvl>
    <w:lvl w:ilvl="4" w:tplc="8F38E0F4">
      <w:start w:val="1"/>
      <w:numFmt w:val="bullet"/>
      <w:lvlText w:val="○"/>
      <w:lvlJc w:val="left"/>
      <w:pPr>
        <w:ind w:left="3600" w:hanging="360"/>
      </w:pPr>
    </w:lvl>
    <w:lvl w:ilvl="5" w:tplc="948416C8">
      <w:start w:val="1"/>
      <w:numFmt w:val="bullet"/>
      <w:lvlText w:val="■"/>
      <w:lvlJc w:val="left"/>
      <w:pPr>
        <w:ind w:left="4320" w:hanging="360"/>
      </w:pPr>
    </w:lvl>
    <w:lvl w:ilvl="6" w:tplc="793C86BC">
      <w:start w:val="1"/>
      <w:numFmt w:val="bullet"/>
      <w:lvlText w:val="●"/>
      <w:lvlJc w:val="left"/>
      <w:pPr>
        <w:ind w:left="5040" w:hanging="360"/>
      </w:pPr>
    </w:lvl>
    <w:lvl w:ilvl="7" w:tplc="6574AAA4">
      <w:start w:val="1"/>
      <w:numFmt w:val="bullet"/>
      <w:lvlText w:val="●"/>
      <w:lvlJc w:val="left"/>
      <w:pPr>
        <w:ind w:left="5760" w:hanging="360"/>
      </w:pPr>
    </w:lvl>
    <w:lvl w:ilvl="8" w:tplc="092C1766">
      <w:start w:val="1"/>
      <w:numFmt w:val="bullet"/>
      <w:lvlText w:val="●"/>
      <w:lvlJc w:val="left"/>
      <w:pPr>
        <w:ind w:left="6480" w:hanging="360"/>
      </w:pPr>
    </w:lvl>
  </w:abstractNum>
  <w:abstractNum w:abstractNumId="1" w15:restartNumberingAfterBreak="0">
    <w:nsid w:val="78FB0E57"/>
    <w:multiLevelType w:val="hybridMultilevel"/>
    <w:tmpl w:val="A5F08B34"/>
    <w:lvl w:ilvl="0" w:tplc="AB8EF574">
      <w:start w:val="1"/>
      <w:numFmt w:val="bullet"/>
      <w:lvlText w:val="•"/>
      <w:lvlJc w:val="left"/>
      <w:pPr>
        <w:ind w:left="720" w:hanging="360"/>
      </w:pPr>
    </w:lvl>
    <w:lvl w:ilvl="1" w:tplc="F6884C3A">
      <w:numFmt w:val="decimal"/>
      <w:lvlText w:val=""/>
      <w:lvlJc w:val="left"/>
    </w:lvl>
    <w:lvl w:ilvl="2" w:tplc="D3E467C4">
      <w:numFmt w:val="decimal"/>
      <w:lvlText w:val=""/>
      <w:lvlJc w:val="left"/>
    </w:lvl>
    <w:lvl w:ilvl="3" w:tplc="4AF8A3E6">
      <w:numFmt w:val="decimal"/>
      <w:lvlText w:val=""/>
      <w:lvlJc w:val="left"/>
    </w:lvl>
    <w:lvl w:ilvl="4" w:tplc="4A82D84E">
      <w:numFmt w:val="decimal"/>
      <w:lvlText w:val=""/>
      <w:lvlJc w:val="left"/>
    </w:lvl>
    <w:lvl w:ilvl="5" w:tplc="BF1C2B34">
      <w:numFmt w:val="decimal"/>
      <w:lvlText w:val=""/>
      <w:lvlJc w:val="left"/>
    </w:lvl>
    <w:lvl w:ilvl="6" w:tplc="D8B061BA">
      <w:numFmt w:val="decimal"/>
      <w:lvlText w:val=""/>
      <w:lvlJc w:val="left"/>
    </w:lvl>
    <w:lvl w:ilvl="7" w:tplc="A3C66022">
      <w:numFmt w:val="decimal"/>
      <w:lvlText w:val=""/>
      <w:lvlJc w:val="left"/>
    </w:lvl>
    <w:lvl w:ilvl="8" w:tplc="77CAF436">
      <w:numFmt w:val="decimal"/>
      <w:lvlText w:val=""/>
      <w:lvlJc w:val="left"/>
    </w:lvl>
  </w:abstractNum>
  <w:num w:numId="1" w16cid:durableId="164543034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E0D"/>
    <w:rsid w:val="001B6208"/>
    <w:rsid w:val="00341C89"/>
    <w:rsid w:val="004A6C9E"/>
    <w:rsid w:val="00530175"/>
    <w:rsid w:val="005751C5"/>
    <w:rsid w:val="005B60E7"/>
    <w:rsid w:val="00603301"/>
    <w:rsid w:val="00647BF8"/>
    <w:rsid w:val="00732FE3"/>
    <w:rsid w:val="007F2A3A"/>
    <w:rsid w:val="007F6E10"/>
    <w:rsid w:val="00A73E1F"/>
    <w:rsid w:val="00AB5647"/>
    <w:rsid w:val="00B02C07"/>
    <w:rsid w:val="00B603D3"/>
    <w:rsid w:val="00BF6264"/>
    <w:rsid w:val="00C6792D"/>
    <w:rsid w:val="00D00A4D"/>
    <w:rsid w:val="00D74802"/>
    <w:rsid w:val="00E434E6"/>
    <w:rsid w:val="00E76BE2"/>
    <w:rsid w:val="00EB2E0D"/>
    <w:rsid w:val="00F605E4"/>
    <w:rsid w:val="00F873AA"/>
    <w:rsid w:val="00F91A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CAFB2"/>
  <w15:docId w15:val="{DFCA1813-C97F-45C6-90AC-9FFF8222E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530175"/>
    <w:pPr>
      <w:tabs>
        <w:tab w:val="center" w:pos="4513"/>
        <w:tab w:val="right" w:pos="9026"/>
      </w:tabs>
    </w:pPr>
  </w:style>
  <w:style w:type="character" w:customStyle="1" w:styleId="HeaderChar">
    <w:name w:val="Header Char"/>
    <w:basedOn w:val="DefaultParagraphFont"/>
    <w:link w:val="Header"/>
    <w:uiPriority w:val="99"/>
    <w:rsid w:val="00530175"/>
  </w:style>
  <w:style w:type="paragraph" w:styleId="Footer">
    <w:name w:val="footer"/>
    <w:basedOn w:val="Normal"/>
    <w:link w:val="FooterChar"/>
    <w:uiPriority w:val="99"/>
    <w:unhideWhenUsed/>
    <w:rsid w:val="00530175"/>
    <w:pPr>
      <w:tabs>
        <w:tab w:val="center" w:pos="4513"/>
        <w:tab w:val="right" w:pos="9026"/>
      </w:tabs>
    </w:pPr>
  </w:style>
  <w:style w:type="character" w:customStyle="1" w:styleId="FooterChar">
    <w:name w:val="Footer Char"/>
    <w:basedOn w:val="DefaultParagraphFont"/>
    <w:link w:val="Footer"/>
    <w:uiPriority w:val="99"/>
    <w:rsid w:val="005301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911</Words>
  <Characters>5194</Characters>
  <Application>Microsoft Office Word</Application>
  <DocSecurity>0</DocSecurity>
  <Lines>43</Lines>
  <Paragraphs>12</Paragraphs>
  <ScaleCrop>false</ScaleCrop>
  <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Daniel Richardson</cp:lastModifiedBy>
  <cp:revision>10</cp:revision>
  <dcterms:created xsi:type="dcterms:W3CDTF">2026-05-07T16:59:00Z</dcterms:created>
  <dcterms:modified xsi:type="dcterms:W3CDTF">2026-05-31T08:39:00Z</dcterms:modified>
</cp:coreProperties>
</file>